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1A84E" w14:textId="267635CF" w:rsidR="00EF02B0" w:rsidRPr="00EF02B0" w:rsidRDefault="00EF02B0" w:rsidP="00EF02B0">
      <w:pPr>
        <w:outlineLvl w:val="0"/>
        <w:rPr>
          <w:rFonts w:cs="Arial"/>
          <w:b/>
          <w:sz w:val="44"/>
          <w:szCs w:val="44"/>
        </w:rPr>
      </w:pPr>
      <w:bookmarkStart w:id="0" w:name="_Toc389131241"/>
      <w:bookmarkStart w:id="1" w:name="_Toc389473036"/>
      <w:bookmarkStart w:id="2" w:name="_Toc389473185"/>
      <w:bookmarkStart w:id="3" w:name="_Toc389473272"/>
      <w:bookmarkStart w:id="4" w:name="_Toc392770343"/>
      <w:r w:rsidRPr="00EF02B0">
        <w:rPr>
          <w:rFonts w:cs="Arial"/>
          <w:b/>
          <w:sz w:val="44"/>
          <w:szCs w:val="44"/>
        </w:rPr>
        <w:t>Canberra Health Services</w:t>
      </w:r>
    </w:p>
    <w:bookmarkEnd w:id="0"/>
    <w:bookmarkEnd w:id="1"/>
    <w:bookmarkEnd w:id="2"/>
    <w:bookmarkEnd w:id="3"/>
    <w:bookmarkEnd w:id="4"/>
    <w:p w14:paraId="2F51A84F" w14:textId="4D7238DE" w:rsidR="00EF02B0" w:rsidRPr="00931B93" w:rsidRDefault="00EF02B0" w:rsidP="00EF02B0">
      <w:pPr>
        <w:rPr>
          <w:rFonts w:cs="Arial"/>
          <w:b/>
          <w:i/>
          <w:sz w:val="28"/>
          <w:szCs w:val="44"/>
        </w:rPr>
      </w:pPr>
      <w:r w:rsidRPr="00EF02B0">
        <w:rPr>
          <w:rFonts w:cs="Arial"/>
          <w:b/>
          <w:sz w:val="44"/>
          <w:szCs w:val="44"/>
        </w:rPr>
        <w:t>Procedure</w:t>
      </w:r>
      <w:r w:rsidR="00931B93">
        <w:rPr>
          <w:rFonts w:cs="Arial"/>
          <w:b/>
          <w:sz w:val="44"/>
          <w:szCs w:val="44"/>
        </w:rPr>
        <w:t xml:space="preserve"> </w:t>
      </w:r>
    </w:p>
    <w:p w14:paraId="2F51A850" w14:textId="60FEBCB4" w:rsidR="007B6904" w:rsidRPr="006A3770" w:rsidRDefault="00106300" w:rsidP="006A3770">
      <w:pPr>
        <w:rPr>
          <w:rFonts w:cs="Arial"/>
          <w:b/>
          <w:i/>
          <w:sz w:val="36"/>
          <w:szCs w:val="36"/>
        </w:rPr>
      </w:pPr>
      <w:r>
        <w:rPr>
          <w:rFonts w:cs="Arial"/>
          <w:b/>
          <w:sz w:val="36"/>
          <w:szCs w:val="36"/>
        </w:rPr>
        <w:t xml:space="preserve">Flexible Working </w:t>
      </w:r>
      <w:r w:rsidRPr="00261F21">
        <w:rPr>
          <w:rFonts w:cs="Arial"/>
          <w:b/>
          <w:sz w:val="36"/>
          <w:szCs w:val="36"/>
        </w:rPr>
        <w:t>Arrangements</w:t>
      </w:r>
      <w:r w:rsidR="00447D29">
        <w:rPr>
          <w:rFonts w:cs="Arial"/>
          <w:b/>
          <w:sz w:val="36"/>
          <w:szCs w:val="36"/>
        </w:rPr>
        <w:t xml:space="preserve"> Relating to Private Practice or Other Commitments </w:t>
      </w:r>
      <w:r w:rsidRPr="00261F21">
        <w:rPr>
          <w:rFonts w:cs="Arial"/>
          <w:b/>
          <w:sz w:val="36"/>
          <w:szCs w:val="36"/>
        </w:rPr>
        <w:t>– Specialists</w:t>
      </w:r>
      <w:r>
        <w:rPr>
          <w:rFonts w:cs="Arial"/>
          <w:b/>
          <w:sz w:val="36"/>
          <w:szCs w:val="36"/>
        </w:rPr>
        <w:t xml:space="preserve"> and Senior Specialists</w:t>
      </w: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52" w14:textId="77777777" w:rsidTr="0074223E">
        <w:trPr>
          <w:cantSplit/>
          <w:trHeight w:val="285"/>
        </w:trPr>
        <w:tc>
          <w:tcPr>
            <w:tcW w:w="9158" w:type="dxa"/>
            <w:shd w:val="clear" w:color="auto" w:fill="A6A6A6" w:themeFill="background1" w:themeFillShade="A6"/>
          </w:tcPr>
          <w:p w14:paraId="2F51A851" w14:textId="61870B41" w:rsidR="007B6904" w:rsidRPr="00CD1C0E" w:rsidRDefault="007B6904" w:rsidP="004213C3">
            <w:pPr>
              <w:pStyle w:val="Heading1"/>
            </w:pPr>
            <w:bookmarkStart w:id="5" w:name="_Toc389473273"/>
            <w:bookmarkStart w:id="6" w:name="Contents"/>
            <w:bookmarkStart w:id="7" w:name="_Toc71711786"/>
            <w:r w:rsidRPr="00CD1C0E">
              <w:t>Contents</w:t>
            </w:r>
            <w:bookmarkEnd w:id="5"/>
            <w:bookmarkEnd w:id="6"/>
            <w:bookmarkEnd w:id="7"/>
          </w:p>
        </w:tc>
      </w:tr>
    </w:tbl>
    <w:p w14:paraId="2F51A853" w14:textId="77777777" w:rsidR="007B6904" w:rsidRDefault="007B6904" w:rsidP="007B6904"/>
    <w:p w14:paraId="6C7DAFD4" w14:textId="5BA35395" w:rsidR="00AC4375" w:rsidRDefault="00AC4375">
      <w:pPr>
        <w:pStyle w:val="TOC1"/>
        <w:tabs>
          <w:tab w:val="right" w:leader="dot" w:pos="9060"/>
        </w:tabs>
        <w:rPr>
          <w:rFonts w:eastAsiaTheme="minorEastAsia" w:cstheme="minorBidi"/>
          <w:noProof/>
          <w:sz w:val="22"/>
          <w:szCs w:val="22"/>
          <w:lang w:eastAsia="en-AU"/>
        </w:rPr>
      </w:pPr>
      <w:r>
        <w:fldChar w:fldCharType="begin"/>
      </w:r>
      <w:r>
        <w:instrText xml:space="preserve"> TOC \h \z \t "Heading 1,1,Heading 2,2" </w:instrText>
      </w:r>
      <w:r>
        <w:fldChar w:fldCharType="separate"/>
      </w:r>
      <w:hyperlink w:anchor="_Toc71711786" w:history="1">
        <w:r w:rsidRPr="00111385">
          <w:rPr>
            <w:rStyle w:val="Hyperlink"/>
            <w:noProof/>
          </w:rPr>
          <w:t>Contents</w:t>
        </w:r>
        <w:r>
          <w:rPr>
            <w:noProof/>
            <w:webHidden/>
          </w:rPr>
          <w:tab/>
        </w:r>
        <w:r>
          <w:rPr>
            <w:noProof/>
            <w:webHidden/>
          </w:rPr>
          <w:fldChar w:fldCharType="begin"/>
        </w:r>
        <w:r>
          <w:rPr>
            <w:noProof/>
            <w:webHidden/>
          </w:rPr>
          <w:instrText xml:space="preserve"> PAGEREF _Toc71711786 \h </w:instrText>
        </w:r>
        <w:r>
          <w:rPr>
            <w:noProof/>
            <w:webHidden/>
          </w:rPr>
        </w:r>
        <w:r>
          <w:rPr>
            <w:noProof/>
            <w:webHidden/>
          </w:rPr>
          <w:fldChar w:fldCharType="separate"/>
        </w:r>
        <w:r>
          <w:rPr>
            <w:noProof/>
            <w:webHidden/>
          </w:rPr>
          <w:t>1</w:t>
        </w:r>
        <w:r>
          <w:rPr>
            <w:noProof/>
            <w:webHidden/>
          </w:rPr>
          <w:fldChar w:fldCharType="end"/>
        </w:r>
      </w:hyperlink>
    </w:p>
    <w:p w14:paraId="2CCF4B68" w14:textId="01A0E319" w:rsidR="00AC4375" w:rsidRDefault="00316E08">
      <w:pPr>
        <w:pStyle w:val="TOC1"/>
        <w:tabs>
          <w:tab w:val="right" w:leader="dot" w:pos="9060"/>
        </w:tabs>
        <w:rPr>
          <w:rFonts w:eastAsiaTheme="minorEastAsia" w:cstheme="minorBidi"/>
          <w:noProof/>
          <w:sz w:val="22"/>
          <w:szCs w:val="22"/>
          <w:lang w:eastAsia="en-AU"/>
        </w:rPr>
      </w:pPr>
      <w:hyperlink w:anchor="_Toc71711787" w:history="1">
        <w:r w:rsidR="00AC4375" w:rsidRPr="00111385">
          <w:rPr>
            <w:rStyle w:val="Hyperlink"/>
            <w:noProof/>
          </w:rPr>
          <w:t>Purpose</w:t>
        </w:r>
        <w:r w:rsidR="00AC4375">
          <w:rPr>
            <w:noProof/>
            <w:webHidden/>
          </w:rPr>
          <w:tab/>
        </w:r>
        <w:r w:rsidR="00AC4375">
          <w:rPr>
            <w:noProof/>
            <w:webHidden/>
          </w:rPr>
          <w:fldChar w:fldCharType="begin"/>
        </w:r>
        <w:r w:rsidR="00AC4375">
          <w:rPr>
            <w:noProof/>
            <w:webHidden/>
          </w:rPr>
          <w:instrText xml:space="preserve"> PAGEREF _Toc71711787 \h </w:instrText>
        </w:r>
        <w:r w:rsidR="00AC4375">
          <w:rPr>
            <w:noProof/>
            <w:webHidden/>
          </w:rPr>
        </w:r>
        <w:r w:rsidR="00AC4375">
          <w:rPr>
            <w:noProof/>
            <w:webHidden/>
          </w:rPr>
          <w:fldChar w:fldCharType="separate"/>
        </w:r>
        <w:r w:rsidR="00AC4375">
          <w:rPr>
            <w:noProof/>
            <w:webHidden/>
          </w:rPr>
          <w:t>2</w:t>
        </w:r>
        <w:r w:rsidR="00AC4375">
          <w:rPr>
            <w:noProof/>
            <w:webHidden/>
          </w:rPr>
          <w:fldChar w:fldCharType="end"/>
        </w:r>
      </w:hyperlink>
    </w:p>
    <w:p w14:paraId="278CA422" w14:textId="193CF8F7" w:rsidR="00AC4375" w:rsidRDefault="00316E08">
      <w:pPr>
        <w:pStyle w:val="TOC1"/>
        <w:tabs>
          <w:tab w:val="right" w:leader="dot" w:pos="9060"/>
        </w:tabs>
        <w:rPr>
          <w:rFonts w:eastAsiaTheme="minorEastAsia" w:cstheme="minorBidi"/>
          <w:noProof/>
          <w:sz w:val="22"/>
          <w:szCs w:val="22"/>
          <w:lang w:eastAsia="en-AU"/>
        </w:rPr>
      </w:pPr>
      <w:hyperlink w:anchor="_Toc71711788" w:history="1">
        <w:r w:rsidR="00AC4375" w:rsidRPr="00111385">
          <w:rPr>
            <w:rStyle w:val="Hyperlink"/>
            <w:noProof/>
          </w:rPr>
          <w:t>Scope</w:t>
        </w:r>
        <w:r w:rsidR="00AC4375">
          <w:rPr>
            <w:noProof/>
            <w:webHidden/>
          </w:rPr>
          <w:tab/>
        </w:r>
        <w:r w:rsidR="00AC4375">
          <w:rPr>
            <w:noProof/>
            <w:webHidden/>
          </w:rPr>
          <w:fldChar w:fldCharType="begin"/>
        </w:r>
        <w:r w:rsidR="00AC4375">
          <w:rPr>
            <w:noProof/>
            <w:webHidden/>
          </w:rPr>
          <w:instrText xml:space="preserve"> PAGEREF _Toc71711788 \h </w:instrText>
        </w:r>
        <w:r w:rsidR="00AC4375">
          <w:rPr>
            <w:noProof/>
            <w:webHidden/>
          </w:rPr>
        </w:r>
        <w:r w:rsidR="00AC4375">
          <w:rPr>
            <w:noProof/>
            <w:webHidden/>
          </w:rPr>
          <w:fldChar w:fldCharType="separate"/>
        </w:r>
        <w:r w:rsidR="00AC4375">
          <w:rPr>
            <w:noProof/>
            <w:webHidden/>
          </w:rPr>
          <w:t>2</w:t>
        </w:r>
        <w:r w:rsidR="00AC4375">
          <w:rPr>
            <w:noProof/>
            <w:webHidden/>
          </w:rPr>
          <w:fldChar w:fldCharType="end"/>
        </w:r>
      </w:hyperlink>
    </w:p>
    <w:p w14:paraId="59816D8A" w14:textId="73C446D8" w:rsidR="00AC4375" w:rsidRDefault="00316E08">
      <w:pPr>
        <w:pStyle w:val="TOC1"/>
        <w:tabs>
          <w:tab w:val="right" w:leader="dot" w:pos="9060"/>
        </w:tabs>
        <w:rPr>
          <w:rFonts w:eastAsiaTheme="minorEastAsia" w:cstheme="minorBidi"/>
          <w:noProof/>
          <w:sz w:val="22"/>
          <w:szCs w:val="22"/>
          <w:lang w:eastAsia="en-AU"/>
        </w:rPr>
      </w:pPr>
      <w:hyperlink w:anchor="_Toc71711789" w:history="1">
        <w:r w:rsidR="00AC4375" w:rsidRPr="00111385">
          <w:rPr>
            <w:rStyle w:val="Hyperlink"/>
            <w:noProof/>
          </w:rPr>
          <w:t>Section 1 – Applying for flexible working arrangements – 4 day working week</w:t>
        </w:r>
        <w:r w:rsidR="00AC4375">
          <w:rPr>
            <w:noProof/>
            <w:webHidden/>
          </w:rPr>
          <w:tab/>
        </w:r>
        <w:r w:rsidR="00AC4375">
          <w:rPr>
            <w:noProof/>
            <w:webHidden/>
          </w:rPr>
          <w:fldChar w:fldCharType="begin"/>
        </w:r>
        <w:r w:rsidR="00AC4375">
          <w:rPr>
            <w:noProof/>
            <w:webHidden/>
          </w:rPr>
          <w:instrText xml:space="preserve"> PAGEREF _Toc71711789 \h </w:instrText>
        </w:r>
        <w:r w:rsidR="00AC4375">
          <w:rPr>
            <w:noProof/>
            <w:webHidden/>
          </w:rPr>
        </w:r>
        <w:r w:rsidR="00AC4375">
          <w:rPr>
            <w:noProof/>
            <w:webHidden/>
          </w:rPr>
          <w:fldChar w:fldCharType="separate"/>
        </w:r>
        <w:r w:rsidR="00AC4375">
          <w:rPr>
            <w:noProof/>
            <w:webHidden/>
          </w:rPr>
          <w:t>2</w:t>
        </w:r>
        <w:r w:rsidR="00AC4375">
          <w:rPr>
            <w:noProof/>
            <w:webHidden/>
          </w:rPr>
          <w:fldChar w:fldCharType="end"/>
        </w:r>
      </w:hyperlink>
    </w:p>
    <w:p w14:paraId="55542205" w14:textId="6BB32C22" w:rsidR="00AC4375" w:rsidRDefault="00316E08">
      <w:pPr>
        <w:pStyle w:val="TOC1"/>
        <w:tabs>
          <w:tab w:val="right" w:leader="dot" w:pos="9060"/>
        </w:tabs>
        <w:rPr>
          <w:rFonts w:eastAsiaTheme="minorEastAsia" w:cstheme="minorBidi"/>
          <w:noProof/>
          <w:sz w:val="22"/>
          <w:szCs w:val="22"/>
          <w:lang w:eastAsia="en-AU"/>
        </w:rPr>
      </w:pPr>
      <w:hyperlink w:anchor="_Toc71711790" w:history="1">
        <w:r w:rsidR="00AC4375" w:rsidRPr="00111385">
          <w:rPr>
            <w:rStyle w:val="Hyperlink"/>
            <w:noProof/>
          </w:rPr>
          <w:t>Section 2 – Consideration of application</w:t>
        </w:r>
        <w:r w:rsidR="00AC4375">
          <w:rPr>
            <w:noProof/>
            <w:webHidden/>
          </w:rPr>
          <w:tab/>
        </w:r>
        <w:r w:rsidR="00AC4375">
          <w:rPr>
            <w:noProof/>
            <w:webHidden/>
          </w:rPr>
          <w:fldChar w:fldCharType="begin"/>
        </w:r>
        <w:r w:rsidR="00AC4375">
          <w:rPr>
            <w:noProof/>
            <w:webHidden/>
          </w:rPr>
          <w:instrText xml:space="preserve"> PAGEREF _Toc71711790 \h </w:instrText>
        </w:r>
        <w:r w:rsidR="00AC4375">
          <w:rPr>
            <w:noProof/>
            <w:webHidden/>
          </w:rPr>
        </w:r>
        <w:r w:rsidR="00AC4375">
          <w:rPr>
            <w:noProof/>
            <w:webHidden/>
          </w:rPr>
          <w:fldChar w:fldCharType="separate"/>
        </w:r>
        <w:r w:rsidR="00AC4375">
          <w:rPr>
            <w:noProof/>
            <w:webHidden/>
          </w:rPr>
          <w:t>3</w:t>
        </w:r>
        <w:r w:rsidR="00AC4375">
          <w:rPr>
            <w:noProof/>
            <w:webHidden/>
          </w:rPr>
          <w:fldChar w:fldCharType="end"/>
        </w:r>
      </w:hyperlink>
    </w:p>
    <w:p w14:paraId="17AA0052" w14:textId="6ED61203" w:rsidR="00AC4375" w:rsidRDefault="00316E08">
      <w:pPr>
        <w:pStyle w:val="TOC1"/>
        <w:tabs>
          <w:tab w:val="right" w:leader="dot" w:pos="9060"/>
        </w:tabs>
        <w:rPr>
          <w:rFonts w:eastAsiaTheme="minorEastAsia" w:cstheme="minorBidi"/>
          <w:noProof/>
          <w:sz w:val="22"/>
          <w:szCs w:val="22"/>
          <w:lang w:eastAsia="en-AU"/>
        </w:rPr>
      </w:pPr>
      <w:hyperlink w:anchor="_Toc71711791" w:history="1">
        <w:r w:rsidR="00AC4375" w:rsidRPr="00111385">
          <w:rPr>
            <w:rStyle w:val="Hyperlink"/>
            <w:noProof/>
          </w:rPr>
          <w:t>Section 3 – Approval period</w:t>
        </w:r>
        <w:r w:rsidR="00AC4375">
          <w:rPr>
            <w:noProof/>
            <w:webHidden/>
          </w:rPr>
          <w:tab/>
        </w:r>
        <w:r w:rsidR="00AC4375">
          <w:rPr>
            <w:noProof/>
            <w:webHidden/>
          </w:rPr>
          <w:fldChar w:fldCharType="begin"/>
        </w:r>
        <w:r w:rsidR="00AC4375">
          <w:rPr>
            <w:noProof/>
            <w:webHidden/>
          </w:rPr>
          <w:instrText xml:space="preserve"> PAGEREF _Toc71711791 \h </w:instrText>
        </w:r>
        <w:r w:rsidR="00AC4375">
          <w:rPr>
            <w:noProof/>
            <w:webHidden/>
          </w:rPr>
        </w:r>
        <w:r w:rsidR="00AC4375">
          <w:rPr>
            <w:noProof/>
            <w:webHidden/>
          </w:rPr>
          <w:fldChar w:fldCharType="separate"/>
        </w:r>
        <w:r w:rsidR="00AC4375">
          <w:rPr>
            <w:noProof/>
            <w:webHidden/>
          </w:rPr>
          <w:t>3</w:t>
        </w:r>
        <w:r w:rsidR="00AC4375">
          <w:rPr>
            <w:noProof/>
            <w:webHidden/>
          </w:rPr>
          <w:fldChar w:fldCharType="end"/>
        </w:r>
      </w:hyperlink>
    </w:p>
    <w:p w14:paraId="6FDB0FD8" w14:textId="7112870B" w:rsidR="00AC4375" w:rsidRDefault="00316E08">
      <w:pPr>
        <w:pStyle w:val="TOC1"/>
        <w:tabs>
          <w:tab w:val="right" w:leader="dot" w:pos="9060"/>
        </w:tabs>
        <w:rPr>
          <w:rFonts w:eastAsiaTheme="minorEastAsia" w:cstheme="minorBidi"/>
          <w:noProof/>
          <w:sz w:val="22"/>
          <w:szCs w:val="22"/>
          <w:lang w:eastAsia="en-AU"/>
        </w:rPr>
      </w:pPr>
      <w:hyperlink w:anchor="_Toc71711792" w:history="1">
        <w:r w:rsidR="00AC4375" w:rsidRPr="00111385">
          <w:rPr>
            <w:rStyle w:val="Hyperlink"/>
            <w:noProof/>
          </w:rPr>
          <w:t>Section 4 – Recording attendance</w:t>
        </w:r>
        <w:r w:rsidR="00AC4375">
          <w:rPr>
            <w:noProof/>
            <w:webHidden/>
          </w:rPr>
          <w:tab/>
        </w:r>
        <w:r w:rsidR="00AC4375">
          <w:rPr>
            <w:noProof/>
            <w:webHidden/>
          </w:rPr>
          <w:fldChar w:fldCharType="begin"/>
        </w:r>
        <w:r w:rsidR="00AC4375">
          <w:rPr>
            <w:noProof/>
            <w:webHidden/>
          </w:rPr>
          <w:instrText xml:space="preserve"> PAGEREF _Toc71711792 \h </w:instrText>
        </w:r>
        <w:r w:rsidR="00AC4375">
          <w:rPr>
            <w:noProof/>
            <w:webHidden/>
          </w:rPr>
        </w:r>
        <w:r w:rsidR="00AC4375">
          <w:rPr>
            <w:noProof/>
            <w:webHidden/>
          </w:rPr>
          <w:fldChar w:fldCharType="separate"/>
        </w:r>
        <w:r w:rsidR="00AC4375">
          <w:rPr>
            <w:noProof/>
            <w:webHidden/>
          </w:rPr>
          <w:t>4</w:t>
        </w:r>
        <w:r w:rsidR="00AC4375">
          <w:rPr>
            <w:noProof/>
            <w:webHidden/>
          </w:rPr>
          <w:fldChar w:fldCharType="end"/>
        </w:r>
      </w:hyperlink>
    </w:p>
    <w:p w14:paraId="41FBCB4D" w14:textId="5BDA614E" w:rsidR="00AC4375" w:rsidRDefault="00316E08">
      <w:pPr>
        <w:pStyle w:val="TOC1"/>
        <w:tabs>
          <w:tab w:val="right" w:leader="dot" w:pos="9060"/>
        </w:tabs>
        <w:rPr>
          <w:rFonts w:eastAsiaTheme="minorEastAsia" w:cstheme="minorBidi"/>
          <w:noProof/>
          <w:sz w:val="22"/>
          <w:szCs w:val="22"/>
          <w:lang w:eastAsia="en-AU"/>
        </w:rPr>
      </w:pPr>
      <w:hyperlink w:anchor="_Toc71711793" w:history="1">
        <w:r w:rsidR="00AC4375" w:rsidRPr="00111385">
          <w:rPr>
            <w:rStyle w:val="Hyperlink"/>
            <w:noProof/>
          </w:rPr>
          <w:t>Section 5 – Suspected breaches of flexible working arrangements relating to private practice and other commitments</w:t>
        </w:r>
        <w:r w:rsidR="00AC4375">
          <w:rPr>
            <w:noProof/>
            <w:webHidden/>
          </w:rPr>
          <w:tab/>
        </w:r>
        <w:r w:rsidR="00AC4375">
          <w:rPr>
            <w:noProof/>
            <w:webHidden/>
          </w:rPr>
          <w:fldChar w:fldCharType="begin"/>
        </w:r>
        <w:r w:rsidR="00AC4375">
          <w:rPr>
            <w:noProof/>
            <w:webHidden/>
          </w:rPr>
          <w:instrText xml:space="preserve"> PAGEREF _Toc71711793 \h </w:instrText>
        </w:r>
        <w:r w:rsidR="00AC4375">
          <w:rPr>
            <w:noProof/>
            <w:webHidden/>
          </w:rPr>
        </w:r>
        <w:r w:rsidR="00AC4375">
          <w:rPr>
            <w:noProof/>
            <w:webHidden/>
          </w:rPr>
          <w:fldChar w:fldCharType="separate"/>
        </w:r>
        <w:r w:rsidR="00AC4375">
          <w:rPr>
            <w:noProof/>
            <w:webHidden/>
          </w:rPr>
          <w:t>4</w:t>
        </w:r>
        <w:r w:rsidR="00AC4375">
          <w:rPr>
            <w:noProof/>
            <w:webHidden/>
          </w:rPr>
          <w:fldChar w:fldCharType="end"/>
        </w:r>
      </w:hyperlink>
    </w:p>
    <w:p w14:paraId="73B3304C" w14:textId="6DCB3AD9" w:rsidR="00AC4375" w:rsidRDefault="00316E08">
      <w:pPr>
        <w:pStyle w:val="TOC1"/>
        <w:tabs>
          <w:tab w:val="right" w:leader="dot" w:pos="9060"/>
        </w:tabs>
        <w:rPr>
          <w:rFonts w:eastAsiaTheme="minorEastAsia" w:cstheme="minorBidi"/>
          <w:noProof/>
          <w:sz w:val="22"/>
          <w:szCs w:val="22"/>
          <w:lang w:eastAsia="en-AU"/>
        </w:rPr>
      </w:pPr>
      <w:hyperlink w:anchor="_Toc71711794" w:history="1">
        <w:r w:rsidR="00AC4375" w:rsidRPr="00111385">
          <w:rPr>
            <w:rStyle w:val="Hyperlink"/>
            <w:noProof/>
          </w:rPr>
          <w:t>Evaluation</w:t>
        </w:r>
        <w:r w:rsidR="00AC4375">
          <w:rPr>
            <w:noProof/>
            <w:webHidden/>
          </w:rPr>
          <w:tab/>
        </w:r>
        <w:r w:rsidR="00AC4375">
          <w:rPr>
            <w:noProof/>
            <w:webHidden/>
          </w:rPr>
          <w:fldChar w:fldCharType="begin"/>
        </w:r>
        <w:r w:rsidR="00AC4375">
          <w:rPr>
            <w:noProof/>
            <w:webHidden/>
          </w:rPr>
          <w:instrText xml:space="preserve"> PAGEREF _Toc71711794 \h </w:instrText>
        </w:r>
        <w:r w:rsidR="00AC4375">
          <w:rPr>
            <w:noProof/>
            <w:webHidden/>
          </w:rPr>
        </w:r>
        <w:r w:rsidR="00AC4375">
          <w:rPr>
            <w:noProof/>
            <w:webHidden/>
          </w:rPr>
          <w:fldChar w:fldCharType="separate"/>
        </w:r>
        <w:r w:rsidR="00AC4375">
          <w:rPr>
            <w:noProof/>
            <w:webHidden/>
          </w:rPr>
          <w:t>5</w:t>
        </w:r>
        <w:r w:rsidR="00AC4375">
          <w:rPr>
            <w:noProof/>
            <w:webHidden/>
          </w:rPr>
          <w:fldChar w:fldCharType="end"/>
        </w:r>
      </w:hyperlink>
    </w:p>
    <w:p w14:paraId="3C50BFF5" w14:textId="48F0D33D" w:rsidR="00AC4375" w:rsidRDefault="00316E08">
      <w:pPr>
        <w:pStyle w:val="TOC1"/>
        <w:tabs>
          <w:tab w:val="right" w:leader="dot" w:pos="9060"/>
        </w:tabs>
        <w:rPr>
          <w:rFonts w:eastAsiaTheme="minorEastAsia" w:cstheme="minorBidi"/>
          <w:noProof/>
          <w:sz w:val="22"/>
          <w:szCs w:val="22"/>
          <w:lang w:eastAsia="en-AU"/>
        </w:rPr>
      </w:pPr>
      <w:hyperlink w:anchor="_Toc71711795" w:history="1">
        <w:r w:rsidR="00AC4375" w:rsidRPr="00111385">
          <w:rPr>
            <w:rStyle w:val="Hyperlink"/>
            <w:noProof/>
          </w:rPr>
          <w:t>Related Policies, Procedures, Guidelines and Legislation</w:t>
        </w:r>
        <w:r w:rsidR="00AC4375">
          <w:rPr>
            <w:noProof/>
            <w:webHidden/>
          </w:rPr>
          <w:tab/>
        </w:r>
        <w:r w:rsidR="00AC4375">
          <w:rPr>
            <w:noProof/>
            <w:webHidden/>
          </w:rPr>
          <w:fldChar w:fldCharType="begin"/>
        </w:r>
        <w:r w:rsidR="00AC4375">
          <w:rPr>
            <w:noProof/>
            <w:webHidden/>
          </w:rPr>
          <w:instrText xml:space="preserve"> PAGEREF _Toc71711795 \h </w:instrText>
        </w:r>
        <w:r w:rsidR="00AC4375">
          <w:rPr>
            <w:noProof/>
            <w:webHidden/>
          </w:rPr>
        </w:r>
        <w:r w:rsidR="00AC4375">
          <w:rPr>
            <w:noProof/>
            <w:webHidden/>
          </w:rPr>
          <w:fldChar w:fldCharType="separate"/>
        </w:r>
        <w:r w:rsidR="00AC4375">
          <w:rPr>
            <w:noProof/>
            <w:webHidden/>
          </w:rPr>
          <w:t>5</w:t>
        </w:r>
        <w:r w:rsidR="00AC4375">
          <w:rPr>
            <w:noProof/>
            <w:webHidden/>
          </w:rPr>
          <w:fldChar w:fldCharType="end"/>
        </w:r>
      </w:hyperlink>
    </w:p>
    <w:p w14:paraId="00E0E6A9" w14:textId="3DC6F7FA" w:rsidR="00AC4375" w:rsidRDefault="00316E08">
      <w:pPr>
        <w:pStyle w:val="TOC1"/>
        <w:tabs>
          <w:tab w:val="right" w:leader="dot" w:pos="9060"/>
        </w:tabs>
        <w:rPr>
          <w:rFonts w:eastAsiaTheme="minorEastAsia" w:cstheme="minorBidi"/>
          <w:noProof/>
          <w:sz w:val="22"/>
          <w:szCs w:val="22"/>
          <w:lang w:eastAsia="en-AU"/>
        </w:rPr>
      </w:pPr>
      <w:hyperlink w:anchor="_Toc71711796" w:history="1">
        <w:r w:rsidR="00AC4375" w:rsidRPr="00111385">
          <w:rPr>
            <w:rStyle w:val="Hyperlink"/>
            <w:noProof/>
          </w:rPr>
          <w:t>Search Terms</w:t>
        </w:r>
        <w:r w:rsidR="00AC4375">
          <w:rPr>
            <w:noProof/>
            <w:webHidden/>
          </w:rPr>
          <w:tab/>
        </w:r>
        <w:r w:rsidR="00AC4375">
          <w:rPr>
            <w:noProof/>
            <w:webHidden/>
          </w:rPr>
          <w:fldChar w:fldCharType="begin"/>
        </w:r>
        <w:r w:rsidR="00AC4375">
          <w:rPr>
            <w:noProof/>
            <w:webHidden/>
          </w:rPr>
          <w:instrText xml:space="preserve"> PAGEREF _Toc71711796 \h </w:instrText>
        </w:r>
        <w:r w:rsidR="00AC4375">
          <w:rPr>
            <w:noProof/>
            <w:webHidden/>
          </w:rPr>
        </w:r>
        <w:r w:rsidR="00AC4375">
          <w:rPr>
            <w:noProof/>
            <w:webHidden/>
          </w:rPr>
          <w:fldChar w:fldCharType="separate"/>
        </w:r>
        <w:r w:rsidR="00AC4375">
          <w:rPr>
            <w:noProof/>
            <w:webHidden/>
          </w:rPr>
          <w:t>6</w:t>
        </w:r>
        <w:r w:rsidR="00AC4375">
          <w:rPr>
            <w:noProof/>
            <w:webHidden/>
          </w:rPr>
          <w:fldChar w:fldCharType="end"/>
        </w:r>
      </w:hyperlink>
    </w:p>
    <w:p w14:paraId="4EFD8DE7" w14:textId="7AC2BECC" w:rsidR="00AC4375" w:rsidRDefault="00316E08">
      <w:pPr>
        <w:pStyle w:val="TOC1"/>
        <w:tabs>
          <w:tab w:val="right" w:leader="dot" w:pos="9060"/>
        </w:tabs>
        <w:rPr>
          <w:rFonts w:eastAsiaTheme="minorEastAsia" w:cstheme="minorBidi"/>
          <w:noProof/>
          <w:sz w:val="22"/>
          <w:szCs w:val="22"/>
          <w:lang w:eastAsia="en-AU"/>
        </w:rPr>
      </w:pPr>
      <w:hyperlink w:anchor="_Toc71711797" w:history="1">
        <w:r w:rsidR="00AC4375" w:rsidRPr="00111385">
          <w:rPr>
            <w:rStyle w:val="Hyperlink"/>
            <w:noProof/>
          </w:rPr>
          <w:t>Attachments</w:t>
        </w:r>
        <w:r w:rsidR="00AC4375">
          <w:rPr>
            <w:noProof/>
            <w:webHidden/>
          </w:rPr>
          <w:tab/>
        </w:r>
        <w:r w:rsidR="00AC4375">
          <w:rPr>
            <w:noProof/>
            <w:webHidden/>
          </w:rPr>
          <w:fldChar w:fldCharType="begin"/>
        </w:r>
        <w:r w:rsidR="00AC4375">
          <w:rPr>
            <w:noProof/>
            <w:webHidden/>
          </w:rPr>
          <w:instrText xml:space="preserve"> PAGEREF _Toc71711797 \h </w:instrText>
        </w:r>
        <w:r w:rsidR="00AC4375">
          <w:rPr>
            <w:noProof/>
            <w:webHidden/>
          </w:rPr>
        </w:r>
        <w:r w:rsidR="00AC4375">
          <w:rPr>
            <w:noProof/>
            <w:webHidden/>
          </w:rPr>
          <w:fldChar w:fldCharType="separate"/>
        </w:r>
        <w:r w:rsidR="00AC4375">
          <w:rPr>
            <w:noProof/>
            <w:webHidden/>
          </w:rPr>
          <w:t>6</w:t>
        </w:r>
        <w:r w:rsidR="00AC4375">
          <w:rPr>
            <w:noProof/>
            <w:webHidden/>
          </w:rPr>
          <w:fldChar w:fldCharType="end"/>
        </w:r>
      </w:hyperlink>
    </w:p>
    <w:p w14:paraId="7039ACB6" w14:textId="653722BF" w:rsidR="00AC4375" w:rsidRDefault="00316E08">
      <w:pPr>
        <w:pStyle w:val="TOC2"/>
        <w:tabs>
          <w:tab w:val="right" w:leader="dot" w:pos="9060"/>
        </w:tabs>
        <w:rPr>
          <w:rFonts w:eastAsiaTheme="minorEastAsia" w:cstheme="minorBidi"/>
          <w:noProof/>
          <w:sz w:val="22"/>
          <w:szCs w:val="22"/>
          <w:lang w:eastAsia="en-AU"/>
        </w:rPr>
      </w:pPr>
      <w:hyperlink w:anchor="_Toc71711798" w:history="1">
        <w:r w:rsidR="00AC4375" w:rsidRPr="00111385">
          <w:rPr>
            <w:rStyle w:val="Hyperlink"/>
            <w:noProof/>
          </w:rPr>
          <w:t>Attachment 1 – Application For Flexible Working Arrangements Relating To Private Practice: Specialists And Senior Specialists (May 2021)</w:t>
        </w:r>
        <w:r w:rsidR="00AC4375">
          <w:rPr>
            <w:noProof/>
            <w:webHidden/>
          </w:rPr>
          <w:tab/>
        </w:r>
        <w:r w:rsidR="00AC4375">
          <w:rPr>
            <w:noProof/>
            <w:webHidden/>
          </w:rPr>
          <w:fldChar w:fldCharType="begin"/>
        </w:r>
        <w:r w:rsidR="00AC4375">
          <w:rPr>
            <w:noProof/>
            <w:webHidden/>
          </w:rPr>
          <w:instrText xml:space="preserve"> PAGEREF _Toc71711798 \h </w:instrText>
        </w:r>
        <w:r w:rsidR="00AC4375">
          <w:rPr>
            <w:noProof/>
            <w:webHidden/>
          </w:rPr>
        </w:r>
        <w:r w:rsidR="00AC4375">
          <w:rPr>
            <w:noProof/>
            <w:webHidden/>
          </w:rPr>
          <w:fldChar w:fldCharType="separate"/>
        </w:r>
        <w:r w:rsidR="00AC4375">
          <w:rPr>
            <w:noProof/>
            <w:webHidden/>
          </w:rPr>
          <w:t>7</w:t>
        </w:r>
        <w:r w:rsidR="00AC4375">
          <w:rPr>
            <w:noProof/>
            <w:webHidden/>
          </w:rPr>
          <w:fldChar w:fldCharType="end"/>
        </w:r>
      </w:hyperlink>
    </w:p>
    <w:p w14:paraId="6FA3A698" w14:textId="6EE76452" w:rsidR="00AC4375" w:rsidRDefault="00316E08">
      <w:pPr>
        <w:pStyle w:val="TOC2"/>
        <w:tabs>
          <w:tab w:val="right" w:leader="dot" w:pos="9060"/>
        </w:tabs>
        <w:rPr>
          <w:rFonts w:eastAsiaTheme="minorEastAsia" w:cstheme="minorBidi"/>
          <w:noProof/>
          <w:sz w:val="22"/>
          <w:szCs w:val="22"/>
          <w:lang w:eastAsia="en-AU"/>
        </w:rPr>
      </w:pPr>
      <w:hyperlink w:anchor="_Toc71711799" w:history="1">
        <w:r w:rsidR="00AC4375" w:rsidRPr="00111385">
          <w:rPr>
            <w:rStyle w:val="Hyperlink"/>
            <w:noProof/>
          </w:rPr>
          <w:t>Instructions</w:t>
        </w:r>
        <w:r w:rsidR="00AC4375">
          <w:rPr>
            <w:noProof/>
            <w:webHidden/>
          </w:rPr>
          <w:tab/>
        </w:r>
        <w:r w:rsidR="00AC4375">
          <w:rPr>
            <w:noProof/>
            <w:webHidden/>
          </w:rPr>
          <w:fldChar w:fldCharType="begin"/>
        </w:r>
        <w:r w:rsidR="00AC4375">
          <w:rPr>
            <w:noProof/>
            <w:webHidden/>
          </w:rPr>
          <w:instrText xml:space="preserve"> PAGEREF _Toc71711799 \h </w:instrText>
        </w:r>
        <w:r w:rsidR="00AC4375">
          <w:rPr>
            <w:noProof/>
            <w:webHidden/>
          </w:rPr>
        </w:r>
        <w:r w:rsidR="00AC4375">
          <w:rPr>
            <w:noProof/>
            <w:webHidden/>
          </w:rPr>
          <w:fldChar w:fldCharType="separate"/>
        </w:r>
        <w:r w:rsidR="00AC4375">
          <w:rPr>
            <w:noProof/>
            <w:webHidden/>
          </w:rPr>
          <w:t>7</w:t>
        </w:r>
        <w:r w:rsidR="00AC4375">
          <w:rPr>
            <w:noProof/>
            <w:webHidden/>
          </w:rPr>
          <w:fldChar w:fldCharType="end"/>
        </w:r>
      </w:hyperlink>
    </w:p>
    <w:p w14:paraId="2F51A861" w14:textId="743B0562" w:rsidR="007052B1" w:rsidRDefault="00AC4375" w:rsidP="007B6904">
      <w:pPr>
        <w:rPr>
          <w:rFonts w:asciiTheme="minorHAnsi" w:hAnsiTheme="minorHAnsi"/>
        </w:rPr>
      </w:pPr>
      <w:r>
        <w:rPr>
          <w:rFonts w:asciiTheme="minorHAnsi" w:hAnsiTheme="minorHAnsi"/>
        </w:rPr>
        <w:fldChar w:fldCharType="end"/>
      </w:r>
    </w:p>
    <w:p w14:paraId="2F51A863" w14:textId="7C613B7F" w:rsidR="007B6904" w:rsidRPr="008F366E" w:rsidRDefault="007052B1" w:rsidP="008F366E">
      <w:pPr>
        <w:spacing w:after="200" w:line="276" w:lineRule="auto"/>
        <w:rPr>
          <w:rFonts w:asciiTheme="minorHAnsi" w:hAnsiTheme="minorHAnsi"/>
        </w:rPr>
      </w:pPr>
      <w:r>
        <w:rPr>
          <w:rFonts w:asciiTheme="minorHAnsi" w:hAnsiTheme="minorHAnsi"/>
        </w:rPr>
        <w:br w:type="page"/>
      </w: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65" w14:textId="77777777" w:rsidTr="0074223E">
        <w:trPr>
          <w:cantSplit/>
          <w:trHeight w:val="285"/>
        </w:trPr>
        <w:tc>
          <w:tcPr>
            <w:tcW w:w="9158" w:type="dxa"/>
            <w:shd w:val="clear" w:color="auto" w:fill="A6A6A6" w:themeFill="background1" w:themeFillShade="A6"/>
          </w:tcPr>
          <w:p w14:paraId="2F51A864" w14:textId="77777777" w:rsidR="007B6904" w:rsidRPr="00CD1C0E" w:rsidRDefault="007B6904" w:rsidP="004213C3">
            <w:pPr>
              <w:pStyle w:val="Heading1"/>
            </w:pPr>
            <w:bookmarkStart w:id="8" w:name="_Toc389473274"/>
            <w:bookmarkStart w:id="9" w:name="_Toc71711787"/>
            <w:r w:rsidRPr="00CD1C0E">
              <w:lastRenderedPageBreak/>
              <w:t>Purpose</w:t>
            </w:r>
            <w:bookmarkEnd w:id="8"/>
            <w:bookmarkEnd w:id="9"/>
          </w:p>
        </w:tc>
      </w:tr>
    </w:tbl>
    <w:p w14:paraId="2F51A866" w14:textId="77777777" w:rsidR="00931B93" w:rsidRDefault="00931B93" w:rsidP="00931B93">
      <w:pPr>
        <w:rPr>
          <w:rFonts w:cs="Arial"/>
          <w:i/>
          <w:szCs w:val="24"/>
        </w:rPr>
      </w:pPr>
    </w:p>
    <w:p w14:paraId="50A8523C" w14:textId="6E56548C" w:rsidR="00E47067" w:rsidRPr="00261F21" w:rsidRDefault="00106300" w:rsidP="1EF94004">
      <w:pPr>
        <w:rPr>
          <w:rFonts w:asciiTheme="minorHAnsi" w:hAnsiTheme="minorHAnsi" w:cs="Arial"/>
        </w:rPr>
      </w:pPr>
      <w:r w:rsidRPr="1EF94004">
        <w:rPr>
          <w:rFonts w:asciiTheme="minorHAnsi" w:hAnsiTheme="minorHAnsi" w:cs="Arial"/>
        </w:rPr>
        <w:t xml:space="preserve">This procedure provides </w:t>
      </w:r>
      <w:r w:rsidR="007220C1" w:rsidRPr="1EF94004">
        <w:rPr>
          <w:rFonts w:asciiTheme="minorHAnsi" w:hAnsiTheme="minorHAnsi" w:cs="Arial"/>
        </w:rPr>
        <w:t>processes</w:t>
      </w:r>
      <w:r w:rsidRPr="1EF94004">
        <w:rPr>
          <w:rFonts w:asciiTheme="minorHAnsi" w:hAnsiTheme="minorHAnsi" w:cs="Arial"/>
        </w:rPr>
        <w:t xml:space="preserve"> for specialists and senior specialists </w:t>
      </w:r>
      <w:r w:rsidR="007220C1" w:rsidRPr="1EF94004">
        <w:rPr>
          <w:rFonts w:asciiTheme="minorHAnsi" w:hAnsiTheme="minorHAnsi" w:cs="Arial"/>
        </w:rPr>
        <w:t xml:space="preserve">to follow when </w:t>
      </w:r>
      <w:bookmarkStart w:id="10" w:name="_Hlk70067797"/>
      <w:r w:rsidR="007220C1" w:rsidRPr="1EF94004">
        <w:rPr>
          <w:rFonts w:asciiTheme="minorHAnsi" w:hAnsiTheme="minorHAnsi" w:cs="Arial"/>
        </w:rPr>
        <w:t xml:space="preserve">seeking access to </w:t>
      </w:r>
      <w:r w:rsidR="00D04F05" w:rsidRPr="1EF94004">
        <w:rPr>
          <w:rFonts w:asciiTheme="minorHAnsi" w:hAnsiTheme="minorHAnsi" w:cs="Arial"/>
        </w:rPr>
        <w:t>flexible working arrangements</w:t>
      </w:r>
      <w:r w:rsidR="00E47067" w:rsidRPr="1EF94004">
        <w:rPr>
          <w:rFonts w:asciiTheme="minorHAnsi" w:hAnsiTheme="minorHAnsi" w:cs="Arial"/>
        </w:rPr>
        <w:t xml:space="preserve"> </w:t>
      </w:r>
      <w:r w:rsidR="001D146F" w:rsidRPr="1EF94004">
        <w:rPr>
          <w:rFonts w:asciiTheme="minorHAnsi" w:hAnsiTheme="minorHAnsi" w:cs="Arial"/>
        </w:rPr>
        <w:t xml:space="preserve">to facilitate their private practice </w:t>
      </w:r>
      <w:r w:rsidR="00747DCF" w:rsidRPr="1EF94004">
        <w:rPr>
          <w:rFonts w:asciiTheme="minorHAnsi" w:hAnsiTheme="minorHAnsi" w:cs="Arial"/>
        </w:rPr>
        <w:t xml:space="preserve">or other </w:t>
      </w:r>
      <w:r w:rsidR="001D146F" w:rsidRPr="1EF94004">
        <w:rPr>
          <w:rFonts w:asciiTheme="minorHAnsi" w:hAnsiTheme="minorHAnsi" w:cs="Arial"/>
        </w:rPr>
        <w:t>commitments</w:t>
      </w:r>
      <w:r w:rsidR="008318E4" w:rsidRPr="1EF94004">
        <w:rPr>
          <w:rFonts w:asciiTheme="minorHAnsi" w:hAnsiTheme="minorHAnsi" w:cs="Arial"/>
        </w:rPr>
        <w:t xml:space="preserve">. </w:t>
      </w:r>
      <w:r w:rsidR="001D146F" w:rsidRPr="1EF94004">
        <w:rPr>
          <w:rFonts w:asciiTheme="minorHAnsi" w:hAnsiTheme="minorHAnsi" w:cs="Arial"/>
        </w:rPr>
        <w:t xml:space="preserve"> </w:t>
      </w:r>
      <w:bookmarkEnd w:id="10"/>
    </w:p>
    <w:p w14:paraId="7ABF39E5" w14:textId="77777777" w:rsidR="00E47067" w:rsidRPr="00261F21" w:rsidRDefault="00E47067" w:rsidP="00106300">
      <w:pPr>
        <w:rPr>
          <w:rFonts w:asciiTheme="minorHAnsi" w:hAnsiTheme="minorHAnsi" w:cs="Arial"/>
          <w:szCs w:val="24"/>
        </w:rPr>
      </w:pPr>
    </w:p>
    <w:p w14:paraId="4A8F12CC" w14:textId="182E3A98" w:rsidR="00106300" w:rsidRPr="00261F21" w:rsidRDefault="00B66B98" w:rsidP="00106300">
      <w:pPr>
        <w:rPr>
          <w:rFonts w:asciiTheme="minorHAnsi" w:hAnsiTheme="minorHAnsi" w:cs="Arial"/>
          <w:szCs w:val="24"/>
        </w:rPr>
      </w:pPr>
      <w:r w:rsidRPr="00261F21">
        <w:rPr>
          <w:rFonts w:asciiTheme="minorHAnsi" w:hAnsiTheme="minorHAnsi" w:cs="Arial"/>
          <w:szCs w:val="24"/>
        </w:rPr>
        <w:t xml:space="preserve">This procedure </w:t>
      </w:r>
      <w:r w:rsidR="008318E4">
        <w:rPr>
          <w:rFonts w:asciiTheme="minorHAnsi" w:hAnsiTheme="minorHAnsi" w:cs="Arial"/>
          <w:szCs w:val="24"/>
        </w:rPr>
        <w:t>also aims to</w:t>
      </w:r>
      <w:r w:rsidR="00106300" w:rsidRPr="00261F21">
        <w:rPr>
          <w:rFonts w:asciiTheme="minorHAnsi" w:hAnsiTheme="minorHAnsi" w:cs="Arial"/>
          <w:szCs w:val="24"/>
        </w:rPr>
        <w:t xml:space="preserve"> ensure that, when </w:t>
      </w:r>
      <w:r w:rsidRPr="00261F21">
        <w:rPr>
          <w:rFonts w:asciiTheme="minorHAnsi" w:hAnsiTheme="minorHAnsi" w:cs="Arial"/>
          <w:szCs w:val="24"/>
        </w:rPr>
        <w:t xml:space="preserve">employees seek to </w:t>
      </w:r>
      <w:r w:rsidR="00106300" w:rsidRPr="00261F21">
        <w:rPr>
          <w:rFonts w:asciiTheme="minorHAnsi" w:hAnsiTheme="minorHAnsi" w:cs="Arial"/>
          <w:szCs w:val="24"/>
        </w:rPr>
        <w:t xml:space="preserve">access </w:t>
      </w:r>
      <w:r w:rsidR="0099341B">
        <w:rPr>
          <w:rFonts w:asciiTheme="minorHAnsi" w:hAnsiTheme="minorHAnsi" w:cs="Arial"/>
          <w:szCs w:val="24"/>
        </w:rPr>
        <w:t>flexible working arrangement</w:t>
      </w:r>
      <w:r w:rsidR="009D6E8F">
        <w:rPr>
          <w:rFonts w:asciiTheme="minorHAnsi" w:hAnsiTheme="minorHAnsi" w:cs="Arial"/>
          <w:szCs w:val="24"/>
        </w:rPr>
        <w:t>s</w:t>
      </w:r>
      <w:r w:rsidR="00106300" w:rsidRPr="00261F21">
        <w:rPr>
          <w:rFonts w:asciiTheme="minorHAnsi" w:hAnsiTheme="minorHAnsi" w:cs="Arial"/>
          <w:szCs w:val="24"/>
        </w:rPr>
        <w:t xml:space="preserve">, there is no conflict of interest for those undertaking work outside of their employment with </w:t>
      </w:r>
      <w:r w:rsidR="007220C1" w:rsidRPr="00261F21">
        <w:rPr>
          <w:rFonts w:asciiTheme="minorHAnsi" w:hAnsiTheme="minorHAnsi" w:cs="Arial"/>
          <w:szCs w:val="24"/>
        </w:rPr>
        <w:t>Canberra Health Services (</w:t>
      </w:r>
      <w:r w:rsidR="007220C1" w:rsidRPr="00E17A3D">
        <w:rPr>
          <w:rFonts w:asciiTheme="minorHAnsi" w:hAnsiTheme="minorHAnsi" w:cs="Arial"/>
          <w:szCs w:val="24"/>
        </w:rPr>
        <w:t>CHS</w:t>
      </w:r>
      <w:r w:rsidR="007220C1" w:rsidRPr="00261F21">
        <w:rPr>
          <w:rFonts w:asciiTheme="minorHAnsi" w:hAnsiTheme="minorHAnsi" w:cs="Arial"/>
          <w:szCs w:val="24"/>
        </w:rPr>
        <w:t>)</w:t>
      </w:r>
      <w:r w:rsidR="00106300" w:rsidRPr="00261F21">
        <w:rPr>
          <w:rFonts w:asciiTheme="minorHAnsi" w:hAnsiTheme="minorHAnsi" w:cs="Arial"/>
          <w:szCs w:val="24"/>
        </w:rPr>
        <w:t>.</w:t>
      </w:r>
      <w:r w:rsidR="009D6E8F">
        <w:rPr>
          <w:rFonts w:asciiTheme="minorHAnsi" w:hAnsiTheme="minorHAnsi" w:cs="Arial"/>
          <w:szCs w:val="24"/>
        </w:rPr>
        <w:t xml:space="preserve">  </w:t>
      </w:r>
    </w:p>
    <w:p w14:paraId="6DD0F8CB" w14:textId="77777777" w:rsidR="00106300" w:rsidRPr="00261F21" w:rsidRDefault="00106300" w:rsidP="00106300">
      <w:pPr>
        <w:rPr>
          <w:rFonts w:asciiTheme="minorHAnsi" w:hAnsiTheme="minorHAnsi" w:cs="Arial"/>
          <w:szCs w:val="24"/>
        </w:rPr>
      </w:pPr>
    </w:p>
    <w:p w14:paraId="04E5780A" w14:textId="3F4529D6" w:rsidR="00106300" w:rsidRDefault="00702068" w:rsidP="00106300">
      <w:pPr>
        <w:rPr>
          <w:rFonts w:asciiTheme="minorHAnsi" w:hAnsiTheme="minorHAnsi" w:cs="Arial"/>
          <w:szCs w:val="24"/>
        </w:rPr>
      </w:pPr>
      <w:r>
        <w:rPr>
          <w:rFonts w:asciiTheme="minorHAnsi" w:hAnsiTheme="minorHAnsi" w:cs="Arial"/>
          <w:szCs w:val="24"/>
        </w:rPr>
        <w:t xml:space="preserve">When accessing flexible working arrangements specialists and senior specialists must complete their normal working hours </w:t>
      </w:r>
      <w:r w:rsidR="00E47067" w:rsidRPr="00261F21">
        <w:rPr>
          <w:rFonts w:asciiTheme="minorHAnsi" w:hAnsiTheme="minorHAnsi" w:cs="Arial"/>
          <w:szCs w:val="24"/>
        </w:rPr>
        <w:t xml:space="preserve">over a period of no </w:t>
      </w:r>
      <w:r w:rsidR="00B51D23" w:rsidRPr="00261F21">
        <w:rPr>
          <w:rFonts w:asciiTheme="minorHAnsi" w:hAnsiTheme="minorHAnsi" w:cs="Arial"/>
          <w:szCs w:val="24"/>
        </w:rPr>
        <w:t>fewer</w:t>
      </w:r>
      <w:r w:rsidR="00E47067" w:rsidRPr="00261F21">
        <w:rPr>
          <w:rFonts w:asciiTheme="minorHAnsi" w:hAnsiTheme="minorHAnsi" w:cs="Arial"/>
          <w:szCs w:val="24"/>
        </w:rPr>
        <w:t xml:space="preserve"> than 4 days per week, </w:t>
      </w:r>
      <w:r>
        <w:rPr>
          <w:rFonts w:asciiTheme="minorHAnsi" w:hAnsiTheme="minorHAnsi" w:cs="Arial"/>
          <w:szCs w:val="24"/>
        </w:rPr>
        <w:t xml:space="preserve">and </w:t>
      </w:r>
      <w:r w:rsidR="00E47067" w:rsidRPr="00261F21">
        <w:rPr>
          <w:rFonts w:asciiTheme="minorHAnsi" w:hAnsiTheme="minorHAnsi" w:cs="Arial"/>
          <w:szCs w:val="24"/>
        </w:rPr>
        <w:t xml:space="preserve">the </w:t>
      </w:r>
      <w:r w:rsidR="00E17A3D">
        <w:rPr>
          <w:rFonts w:asciiTheme="minorHAnsi" w:hAnsiTheme="minorHAnsi" w:cs="Arial"/>
          <w:szCs w:val="24"/>
        </w:rPr>
        <w:t xml:space="preserve">following </w:t>
      </w:r>
      <w:r w:rsidR="00106300" w:rsidRPr="00261F21">
        <w:rPr>
          <w:rFonts w:asciiTheme="minorHAnsi" w:hAnsiTheme="minorHAnsi" w:cs="Arial"/>
          <w:szCs w:val="24"/>
        </w:rPr>
        <w:t>principles must be adhered to:</w:t>
      </w:r>
    </w:p>
    <w:p w14:paraId="723AC782" w14:textId="0E384C6A" w:rsidR="00106300" w:rsidRPr="00261F21" w:rsidRDefault="00106300" w:rsidP="00106300">
      <w:pPr>
        <w:numPr>
          <w:ilvl w:val="0"/>
          <w:numId w:val="11"/>
        </w:numPr>
        <w:contextualSpacing/>
        <w:rPr>
          <w:rFonts w:asciiTheme="minorHAnsi" w:hAnsiTheme="minorHAnsi" w:cs="Arial"/>
          <w:szCs w:val="24"/>
        </w:rPr>
      </w:pPr>
      <w:r w:rsidRPr="00261F21">
        <w:rPr>
          <w:rFonts w:asciiTheme="minorHAnsi" w:hAnsiTheme="minorHAnsi" w:cs="Arial"/>
          <w:szCs w:val="24"/>
        </w:rPr>
        <w:t xml:space="preserve">Any approval is subject to </w:t>
      </w:r>
      <w:r w:rsidR="00B66B98" w:rsidRPr="00261F21">
        <w:rPr>
          <w:rFonts w:asciiTheme="minorHAnsi" w:hAnsiTheme="minorHAnsi" w:cs="Arial"/>
          <w:szCs w:val="24"/>
        </w:rPr>
        <w:t xml:space="preserve">reasonable business </w:t>
      </w:r>
      <w:proofErr w:type="gramStart"/>
      <w:r w:rsidR="00B66B98" w:rsidRPr="00261F21">
        <w:rPr>
          <w:rFonts w:asciiTheme="minorHAnsi" w:hAnsiTheme="minorHAnsi" w:cs="Arial"/>
          <w:szCs w:val="24"/>
        </w:rPr>
        <w:t>grounds</w:t>
      </w:r>
      <w:r w:rsidRPr="00261F21">
        <w:rPr>
          <w:rFonts w:asciiTheme="minorHAnsi" w:hAnsiTheme="minorHAnsi" w:cs="Arial"/>
          <w:szCs w:val="24"/>
        </w:rPr>
        <w:t>;</w:t>
      </w:r>
      <w:proofErr w:type="gramEnd"/>
    </w:p>
    <w:p w14:paraId="5404C90D" w14:textId="6B57151C" w:rsidR="00106300" w:rsidRPr="00840056" w:rsidRDefault="00106300" w:rsidP="00106300">
      <w:pPr>
        <w:numPr>
          <w:ilvl w:val="0"/>
          <w:numId w:val="11"/>
        </w:numPr>
        <w:contextualSpacing/>
        <w:rPr>
          <w:rFonts w:asciiTheme="minorHAnsi" w:hAnsiTheme="minorHAnsi" w:cs="Arial"/>
          <w:szCs w:val="24"/>
        </w:rPr>
      </w:pPr>
      <w:r w:rsidRPr="00840056">
        <w:rPr>
          <w:rFonts w:asciiTheme="minorHAnsi" w:hAnsiTheme="minorHAnsi" w:cs="Arial"/>
          <w:szCs w:val="24"/>
        </w:rPr>
        <w:t xml:space="preserve">An applicant’s normal hours will remain unchanged under these </w:t>
      </w:r>
      <w:proofErr w:type="gramStart"/>
      <w:r w:rsidRPr="00840056">
        <w:rPr>
          <w:rFonts w:asciiTheme="minorHAnsi" w:hAnsiTheme="minorHAnsi" w:cs="Arial"/>
          <w:szCs w:val="24"/>
        </w:rPr>
        <w:t>arrangements;</w:t>
      </w:r>
      <w:proofErr w:type="gramEnd"/>
      <w:r w:rsidRPr="00840056">
        <w:rPr>
          <w:rFonts w:asciiTheme="minorHAnsi" w:hAnsiTheme="minorHAnsi" w:cs="Arial"/>
          <w:szCs w:val="24"/>
        </w:rPr>
        <w:t xml:space="preserve"> </w:t>
      </w:r>
    </w:p>
    <w:p w14:paraId="56A1D741" w14:textId="29C33F55" w:rsidR="00106300" w:rsidRPr="00840056" w:rsidRDefault="00106300" w:rsidP="00106300">
      <w:pPr>
        <w:numPr>
          <w:ilvl w:val="0"/>
          <w:numId w:val="11"/>
        </w:numPr>
        <w:contextualSpacing/>
        <w:rPr>
          <w:rFonts w:asciiTheme="minorHAnsi" w:hAnsiTheme="minorHAnsi" w:cs="Arial"/>
          <w:szCs w:val="24"/>
        </w:rPr>
      </w:pPr>
      <w:r w:rsidRPr="00840056">
        <w:rPr>
          <w:rFonts w:asciiTheme="minorHAnsi" w:hAnsiTheme="minorHAnsi" w:cs="Arial"/>
          <w:szCs w:val="24"/>
        </w:rPr>
        <w:t>Permission must be sought in advance for any outside employment</w:t>
      </w:r>
      <w:r w:rsidR="00D5209F">
        <w:rPr>
          <w:rFonts w:asciiTheme="minorHAnsi" w:hAnsiTheme="minorHAnsi" w:cs="Arial"/>
          <w:szCs w:val="24"/>
        </w:rPr>
        <w:t>; and</w:t>
      </w:r>
    </w:p>
    <w:p w14:paraId="19CBC929" w14:textId="29AED932" w:rsidR="00106300" w:rsidRPr="00840056" w:rsidRDefault="00106300" w:rsidP="00106300">
      <w:pPr>
        <w:numPr>
          <w:ilvl w:val="0"/>
          <w:numId w:val="11"/>
        </w:numPr>
        <w:contextualSpacing/>
        <w:rPr>
          <w:rFonts w:asciiTheme="minorHAnsi" w:hAnsiTheme="minorHAnsi" w:cs="Arial"/>
          <w:szCs w:val="24"/>
        </w:rPr>
      </w:pPr>
      <w:r w:rsidRPr="00840056">
        <w:rPr>
          <w:rFonts w:asciiTheme="minorHAnsi" w:hAnsiTheme="minorHAnsi" w:cs="Arial"/>
          <w:szCs w:val="24"/>
        </w:rPr>
        <w:t xml:space="preserve">There is no provision within the </w:t>
      </w:r>
      <w:r w:rsidR="00D5209F">
        <w:rPr>
          <w:rFonts w:asciiTheme="minorHAnsi" w:hAnsiTheme="minorHAnsi" w:cs="Arial"/>
          <w:szCs w:val="24"/>
        </w:rPr>
        <w:t>MPEA</w:t>
      </w:r>
      <w:r w:rsidRPr="00840056">
        <w:rPr>
          <w:rFonts w:asciiTheme="minorHAnsi" w:hAnsiTheme="minorHAnsi" w:cs="Arial"/>
          <w:szCs w:val="24"/>
        </w:rPr>
        <w:t xml:space="preserve"> for “banking” or accruing of weekly time off, to be taken together </w:t>
      </w:r>
      <w:proofErr w:type="gramStart"/>
      <w:r w:rsidRPr="00840056">
        <w:rPr>
          <w:rFonts w:asciiTheme="minorHAnsi" w:hAnsiTheme="minorHAnsi" w:cs="Arial"/>
          <w:szCs w:val="24"/>
        </w:rPr>
        <w:t>at a later date</w:t>
      </w:r>
      <w:proofErr w:type="gramEnd"/>
      <w:r w:rsidRPr="00840056">
        <w:rPr>
          <w:rFonts w:asciiTheme="minorHAnsi" w:hAnsiTheme="minorHAnsi" w:cs="Arial"/>
          <w:szCs w:val="24"/>
        </w:rPr>
        <w:t>.</w:t>
      </w:r>
    </w:p>
    <w:p w14:paraId="39F0D6A1" w14:textId="100FDF1C" w:rsidR="00106300" w:rsidRDefault="00106300" w:rsidP="00106300">
      <w:pPr>
        <w:rPr>
          <w:rFonts w:asciiTheme="minorHAnsi" w:hAnsiTheme="minorHAnsi" w:cs="Arial"/>
          <w:szCs w:val="24"/>
        </w:rPr>
      </w:pPr>
    </w:p>
    <w:p w14:paraId="047A4943" w14:textId="1EAB4A44" w:rsidR="009D6E8F" w:rsidRPr="009121F9" w:rsidRDefault="00316E08" w:rsidP="009D6E8F">
      <w:pPr>
        <w:jc w:val="right"/>
        <w:rPr>
          <w:rFonts w:cs="Arial"/>
          <w:b/>
          <w:szCs w:val="24"/>
        </w:rPr>
      </w:pPr>
      <w:hyperlink w:anchor="Contents" w:history="1">
        <w:r w:rsidR="00106300" w:rsidRPr="00840056">
          <w:rPr>
            <w:rStyle w:val="Hyperlink"/>
            <w:rFonts w:asciiTheme="minorHAnsi" w:hAnsiTheme="minorHAnsi"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9D6E8F" w:rsidRPr="00CD1C0E" w14:paraId="15BB59B9" w14:textId="77777777" w:rsidTr="00DB06EB">
        <w:trPr>
          <w:cantSplit/>
          <w:trHeight w:val="285"/>
        </w:trPr>
        <w:tc>
          <w:tcPr>
            <w:tcW w:w="9158" w:type="dxa"/>
            <w:shd w:val="clear" w:color="auto" w:fill="A6A6A6" w:themeFill="background1" w:themeFillShade="A6"/>
          </w:tcPr>
          <w:p w14:paraId="62594510" w14:textId="072C6BA0" w:rsidR="009D6E8F" w:rsidRPr="003D2D06" w:rsidRDefault="009D6E8F" w:rsidP="00DB06EB">
            <w:pPr>
              <w:pStyle w:val="Heading1"/>
            </w:pPr>
            <w:r>
              <w:t>Alerts</w:t>
            </w:r>
          </w:p>
        </w:tc>
      </w:tr>
    </w:tbl>
    <w:p w14:paraId="4F6DB8B1" w14:textId="004CBC03" w:rsidR="009D6E8F" w:rsidRDefault="009D6E8F" w:rsidP="009D6E8F">
      <w:pPr>
        <w:rPr>
          <w:szCs w:val="24"/>
        </w:rPr>
      </w:pPr>
    </w:p>
    <w:p w14:paraId="0AFD6651" w14:textId="2F865108" w:rsidR="009D6E8F" w:rsidRDefault="009D6E8F" w:rsidP="009D6E8F">
      <w:pPr>
        <w:rPr>
          <w:rFonts w:asciiTheme="minorHAnsi" w:hAnsiTheme="minorHAnsi" w:cs="Arial"/>
        </w:rPr>
      </w:pPr>
      <w:r>
        <w:rPr>
          <w:rFonts w:asciiTheme="minorHAnsi" w:hAnsiTheme="minorHAnsi" w:cs="Arial"/>
        </w:rPr>
        <w:t>T</w:t>
      </w:r>
      <w:r w:rsidRPr="1EF94004">
        <w:rPr>
          <w:rFonts w:asciiTheme="minorHAnsi" w:hAnsiTheme="minorHAnsi" w:cs="Arial"/>
        </w:rPr>
        <w:t xml:space="preserve">he flexible working arrangements </w:t>
      </w:r>
      <w:r>
        <w:rPr>
          <w:rFonts w:asciiTheme="minorHAnsi" w:hAnsiTheme="minorHAnsi" w:cs="Arial"/>
        </w:rPr>
        <w:t xml:space="preserve">described in this procedure </w:t>
      </w:r>
      <w:r w:rsidRPr="1EF94004">
        <w:rPr>
          <w:rFonts w:asciiTheme="minorHAnsi" w:hAnsiTheme="minorHAnsi" w:cs="Arial"/>
        </w:rPr>
        <w:t xml:space="preserve">relate </w:t>
      </w:r>
      <w:r w:rsidR="005E0D6C">
        <w:rPr>
          <w:rFonts w:asciiTheme="minorHAnsi" w:hAnsiTheme="minorHAnsi" w:cs="Arial"/>
        </w:rPr>
        <w:t xml:space="preserve">only </w:t>
      </w:r>
      <w:r w:rsidRPr="1EF94004">
        <w:rPr>
          <w:rFonts w:asciiTheme="minorHAnsi" w:hAnsiTheme="minorHAnsi" w:cs="Arial"/>
        </w:rPr>
        <w:t xml:space="preserve">to subclauses 23.12 to 23.18 (inclusive) of the </w:t>
      </w:r>
      <w:r w:rsidRPr="1EF94004">
        <w:rPr>
          <w:rFonts w:asciiTheme="minorHAnsi" w:hAnsiTheme="minorHAnsi" w:cs="Arial"/>
          <w:i/>
          <w:iCs/>
        </w:rPr>
        <w:t>ACT Public Sector Medical Practitioners Enterprise Agreement 2017 – 2021</w:t>
      </w:r>
      <w:r w:rsidRPr="1EF94004">
        <w:rPr>
          <w:rFonts w:asciiTheme="minorHAnsi" w:hAnsiTheme="minorHAnsi" w:cs="Arial"/>
        </w:rPr>
        <w:t xml:space="preserve"> (</w:t>
      </w:r>
      <w:r w:rsidRPr="00E17A3D">
        <w:rPr>
          <w:rFonts w:asciiTheme="minorHAnsi" w:hAnsiTheme="minorHAnsi" w:cs="Arial"/>
        </w:rPr>
        <w:t>MPEA</w:t>
      </w:r>
      <w:r w:rsidRPr="1EF94004">
        <w:rPr>
          <w:rFonts w:asciiTheme="minorHAnsi" w:hAnsiTheme="minorHAnsi" w:cs="Arial"/>
        </w:rPr>
        <w:t xml:space="preserve">). </w:t>
      </w:r>
    </w:p>
    <w:p w14:paraId="4EDF631E" w14:textId="6AEA4D1D" w:rsidR="009D5C1E" w:rsidRDefault="009D5C1E" w:rsidP="009D6E8F">
      <w:pPr>
        <w:rPr>
          <w:rFonts w:asciiTheme="minorHAnsi" w:hAnsiTheme="minorHAnsi" w:cs="Arial"/>
        </w:rPr>
      </w:pPr>
    </w:p>
    <w:p w14:paraId="399D3BDC" w14:textId="76936847" w:rsidR="009D5C1E" w:rsidRPr="00261F21" w:rsidRDefault="009D5C1E" w:rsidP="009D6E8F">
      <w:pPr>
        <w:rPr>
          <w:rFonts w:asciiTheme="minorHAnsi" w:hAnsiTheme="minorHAnsi" w:cs="Arial"/>
        </w:rPr>
      </w:pPr>
      <w:r>
        <w:rPr>
          <w:rFonts w:asciiTheme="minorHAnsi" w:hAnsiTheme="minorHAnsi" w:cs="Arial"/>
        </w:rPr>
        <w:t>Employees should note that w</w:t>
      </w:r>
      <w:r w:rsidR="00BF19D0">
        <w:rPr>
          <w:rFonts w:asciiTheme="minorHAnsi" w:hAnsiTheme="minorHAnsi" w:cs="Arial"/>
        </w:rPr>
        <w:t>h</w:t>
      </w:r>
      <w:r>
        <w:rPr>
          <w:rFonts w:asciiTheme="minorHAnsi" w:hAnsiTheme="minorHAnsi" w:cs="Arial"/>
        </w:rPr>
        <w:t>ere an application for flexible working arrangements has been approved a Conflict of Interest Declaration may be required and the Second Job procedure will need to be followed.</w:t>
      </w:r>
    </w:p>
    <w:p w14:paraId="1AD57BDC" w14:textId="77777777" w:rsidR="009D6E8F" w:rsidRPr="00CD1C0E" w:rsidRDefault="009D6E8F" w:rsidP="009D6E8F">
      <w:pPr>
        <w:rPr>
          <w:szCs w:val="24"/>
        </w:rPr>
      </w:pPr>
    </w:p>
    <w:p w14:paraId="28AA6F71" w14:textId="2C4CC788" w:rsidR="009D6E8F" w:rsidRPr="009121F9" w:rsidRDefault="00316E08" w:rsidP="009E70F4">
      <w:pPr>
        <w:jc w:val="right"/>
        <w:rPr>
          <w:rFonts w:cs="Arial"/>
          <w:b/>
          <w:szCs w:val="24"/>
        </w:rPr>
      </w:pPr>
      <w:hyperlink w:anchor="Contents" w:history="1">
        <w:r w:rsidR="009D6E8F" w:rsidRPr="00840056">
          <w:rPr>
            <w:rStyle w:val="Hyperlink"/>
            <w:rFonts w:asciiTheme="minorHAnsi" w:hAnsiTheme="minorHAnsi"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7B" w14:textId="77777777" w:rsidTr="0074223E">
        <w:trPr>
          <w:cantSplit/>
          <w:trHeight w:val="285"/>
        </w:trPr>
        <w:tc>
          <w:tcPr>
            <w:tcW w:w="9158" w:type="dxa"/>
            <w:shd w:val="clear" w:color="auto" w:fill="A6A6A6" w:themeFill="background1" w:themeFillShade="A6"/>
          </w:tcPr>
          <w:p w14:paraId="2F51A87A" w14:textId="77777777" w:rsidR="007B6904" w:rsidRPr="003D2D06" w:rsidRDefault="007B6904" w:rsidP="004213C3">
            <w:pPr>
              <w:pStyle w:val="Heading1"/>
            </w:pPr>
            <w:bookmarkStart w:id="11" w:name="_Toc389473277"/>
            <w:bookmarkStart w:id="12" w:name="_Toc71711788"/>
            <w:r w:rsidRPr="003D2D06">
              <w:t>Scope</w:t>
            </w:r>
            <w:bookmarkEnd w:id="11"/>
            <w:bookmarkEnd w:id="12"/>
          </w:p>
        </w:tc>
      </w:tr>
    </w:tbl>
    <w:p w14:paraId="2F51A87C" w14:textId="77777777" w:rsidR="007B6904" w:rsidRPr="00CD1C0E" w:rsidRDefault="007B6904" w:rsidP="007B6904">
      <w:pPr>
        <w:rPr>
          <w:szCs w:val="24"/>
        </w:rPr>
      </w:pPr>
    </w:p>
    <w:p w14:paraId="398A6027" w14:textId="188F7910" w:rsidR="001D146F" w:rsidRPr="00261F21" w:rsidRDefault="00D5209F" w:rsidP="00E47067">
      <w:pPr>
        <w:rPr>
          <w:rFonts w:asciiTheme="minorHAnsi" w:hAnsiTheme="minorHAnsi" w:cs="Arial"/>
          <w:szCs w:val="24"/>
        </w:rPr>
      </w:pPr>
      <w:r w:rsidRPr="00840056">
        <w:rPr>
          <w:rFonts w:asciiTheme="minorHAnsi" w:hAnsiTheme="minorHAnsi" w:cs="Arial"/>
          <w:szCs w:val="24"/>
        </w:rPr>
        <w:t xml:space="preserve">This procedure applies to full-time specialists and senior specialists who are covered by the </w:t>
      </w:r>
      <w:r w:rsidRPr="00261F21">
        <w:rPr>
          <w:rFonts w:asciiTheme="minorHAnsi" w:hAnsiTheme="minorHAnsi" w:cs="Arial"/>
          <w:szCs w:val="24"/>
        </w:rPr>
        <w:t>MPEA</w:t>
      </w:r>
      <w:r w:rsidR="00696C00" w:rsidRPr="00261F21">
        <w:rPr>
          <w:rFonts w:asciiTheme="minorHAnsi" w:hAnsiTheme="minorHAnsi" w:cs="Arial"/>
          <w:szCs w:val="24"/>
        </w:rPr>
        <w:t xml:space="preserve"> and who are working flexibly to facilitate their private practice or other commitments</w:t>
      </w:r>
      <w:r w:rsidRPr="00261F21">
        <w:rPr>
          <w:rFonts w:asciiTheme="minorHAnsi" w:hAnsiTheme="minorHAnsi" w:cs="Arial"/>
          <w:szCs w:val="24"/>
        </w:rPr>
        <w:t>.</w:t>
      </w:r>
      <w:r w:rsidR="00E47067" w:rsidRPr="00261F21">
        <w:rPr>
          <w:rFonts w:asciiTheme="minorHAnsi" w:hAnsiTheme="minorHAnsi" w:cs="Arial"/>
          <w:szCs w:val="24"/>
        </w:rPr>
        <w:t xml:space="preserve">  </w:t>
      </w:r>
    </w:p>
    <w:p w14:paraId="2232D13A" w14:textId="25888F30" w:rsidR="00747DCF" w:rsidRDefault="00747DCF" w:rsidP="00E47067">
      <w:pPr>
        <w:rPr>
          <w:rFonts w:asciiTheme="minorHAnsi" w:hAnsiTheme="minorHAnsi" w:cs="Arial"/>
          <w:szCs w:val="24"/>
        </w:rPr>
      </w:pPr>
    </w:p>
    <w:p w14:paraId="0393FF80" w14:textId="4BCC4C96" w:rsidR="00B8608E" w:rsidRPr="00CD1C0E" w:rsidRDefault="00316E08" w:rsidP="008F366E">
      <w:pPr>
        <w:jc w:val="right"/>
      </w:pPr>
      <w:hyperlink w:anchor="Contents" w:history="1">
        <w:r w:rsidR="00D5209F" w:rsidRPr="00840056">
          <w:rPr>
            <w:rStyle w:val="Hyperlink"/>
            <w:rFonts w:asciiTheme="minorHAnsi" w:hAnsiTheme="minorHAnsi" w:cs="Arial"/>
            <w:i/>
            <w:szCs w:val="24"/>
          </w:rPr>
          <w:t>Back to Table of Contents</w:t>
        </w:r>
      </w:hyperlink>
    </w:p>
    <w:p w14:paraId="2839AA95" w14:textId="77777777" w:rsidR="009D5C1E" w:rsidRDefault="009D5C1E">
      <w:bookmarkStart w:id="13" w:name="_Toc389473278"/>
      <w:bookmarkStart w:id="14" w:name="_Toc71711789"/>
      <w:r>
        <w:rPr>
          <w:b/>
          <w:iCs/>
        </w:rPr>
        <w:br w:type="page"/>
      </w: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89" w14:textId="77777777" w:rsidTr="0074223E">
        <w:trPr>
          <w:cantSplit/>
          <w:trHeight w:val="285"/>
        </w:trPr>
        <w:tc>
          <w:tcPr>
            <w:tcW w:w="9158" w:type="dxa"/>
            <w:shd w:val="clear" w:color="auto" w:fill="A6A6A6" w:themeFill="background1" w:themeFillShade="A6"/>
          </w:tcPr>
          <w:p w14:paraId="2F51A888" w14:textId="53240752" w:rsidR="007B6904" w:rsidRPr="00C76688" w:rsidRDefault="007B6904" w:rsidP="00931B93">
            <w:pPr>
              <w:pStyle w:val="Heading1"/>
            </w:pPr>
            <w:r w:rsidRPr="00C76688">
              <w:lastRenderedPageBreak/>
              <w:t>Section 1 –</w:t>
            </w:r>
            <w:r>
              <w:t xml:space="preserve"> </w:t>
            </w:r>
            <w:bookmarkEnd w:id="13"/>
            <w:r w:rsidR="00D5209F">
              <w:t>Applying for flexible working arrangements</w:t>
            </w:r>
            <w:r w:rsidR="00F502E2">
              <w:t xml:space="preserve"> – 4 day working week</w:t>
            </w:r>
            <w:bookmarkEnd w:id="14"/>
          </w:p>
        </w:tc>
      </w:tr>
    </w:tbl>
    <w:p w14:paraId="2F51A88A" w14:textId="77777777" w:rsidR="007B6904" w:rsidRDefault="007B6904" w:rsidP="007B6904">
      <w:pPr>
        <w:outlineLvl w:val="0"/>
        <w:rPr>
          <w:szCs w:val="24"/>
        </w:rPr>
      </w:pPr>
    </w:p>
    <w:p w14:paraId="1C5BDE93" w14:textId="69747E27" w:rsidR="00D5209F" w:rsidRPr="00840056" w:rsidRDefault="00D5209F" w:rsidP="00D5209F">
      <w:pPr>
        <w:rPr>
          <w:rFonts w:asciiTheme="minorHAnsi" w:hAnsiTheme="minorHAnsi" w:cs="Arial"/>
          <w:szCs w:val="24"/>
        </w:rPr>
      </w:pPr>
      <w:r w:rsidRPr="00840056">
        <w:rPr>
          <w:rFonts w:asciiTheme="minorHAnsi" w:hAnsiTheme="minorHAnsi" w:cs="Arial"/>
          <w:szCs w:val="24"/>
        </w:rPr>
        <w:t xml:space="preserve">An application for flexible working arrangements is made to the relevant </w:t>
      </w:r>
      <w:r w:rsidR="00E9759B">
        <w:rPr>
          <w:rFonts w:asciiTheme="minorHAnsi" w:hAnsiTheme="minorHAnsi" w:cs="Arial"/>
          <w:szCs w:val="24"/>
        </w:rPr>
        <w:t>Line Management (usually the Clinical Director)</w:t>
      </w:r>
      <w:r w:rsidRPr="00840056">
        <w:rPr>
          <w:rFonts w:asciiTheme="minorHAnsi" w:hAnsiTheme="minorHAnsi" w:cs="Arial"/>
          <w:szCs w:val="24"/>
        </w:rPr>
        <w:t xml:space="preserve"> by completing the Application for Flexible Working Arrangements – Specialists and Senior Specialists form</w:t>
      </w:r>
      <w:r w:rsidR="00D35C3A">
        <w:rPr>
          <w:rFonts w:asciiTheme="minorHAnsi" w:hAnsiTheme="minorHAnsi" w:cs="Arial"/>
          <w:szCs w:val="24"/>
        </w:rPr>
        <w:t xml:space="preserve">, which can be found on the HealthHUB under Workforce Relations </w:t>
      </w:r>
      <w:r w:rsidR="00D35C3A" w:rsidRPr="00D35C3A">
        <w:rPr>
          <w:rFonts w:asciiTheme="minorHAnsi" w:hAnsiTheme="minorHAnsi" w:cstheme="minorHAnsi"/>
          <w:szCs w:val="24"/>
        </w:rPr>
        <w:t>(</w:t>
      </w:r>
      <w:hyperlink r:id="rId11" w:history="1">
        <w:r w:rsidR="00D35C3A" w:rsidRPr="00D35C3A">
          <w:rPr>
            <w:rStyle w:val="Hyperlink"/>
            <w:rFonts w:asciiTheme="minorHAnsi" w:hAnsiTheme="minorHAnsi" w:cstheme="minorHAnsi"/>
          </w:rPr>
          <w:t>https://healthhub.act.gov.au/employment-resources/employee-services/hr-forms</w:t>
        </w:r>
      </w:hyperlink>
      <w:r w:rsidR="00D35C3A" w:rsidRPr="00D35C3A">
        <w:rPr>
          <w:rFonts w:asciiTheme="minorHAnsi" w:hAnsiTheme="minorHAnsi" w:cstheme="minorHAnsi"/>
        </w:rPr>
        <w:t>)</w:t>
      </w:r>
      <w:r w:rsidR="00D35C3A">
        <w:rPr>
          <w:rFonts w:ascii="Verdana" w:hAnsi="Verdana"/>
        </w:rPr>
        <w:t xml:space="preserve"> </w:t>
      </w:r>
      <w:r w:rsidR="00740698">
        <w:rPr>
          <w:rFonts w:asciiTheme="minorHAnsi" w:hAnsiTheme="minorHAnsi" w:cs="Arial"/>
          <w:szCs w:val="24"/>
        </w:rPr>
        <w:t xml:space="preserve">- </w:t>
      </w:r>
      <w:r w:rsidRPr="00840056">
        <w:rPr>
          <w:rFonts w:asciiTheme="minorHAnsi" w:hAnsiTheme="minorHAnsi" w:cs="Arial"/>
          <w:szCs w:val="24"/>
        </w:rPr>
        <w:t>see Attachment 1.</w:t>
      </w:r>
    </w:p>
    <w:p w14:paraId="05E2C295" w14:textId="77777777" w:rsidR="0079660C" w:rsidRDefault="0079660C" w:rsidP="00D5209F">
      <w:pPr>
        <w:rPr>
          <w:rFonts w:asciiTheme="minorHAnsi" w:hAnsiTheme="minorHAnsi" w:cs="Arial"/>
          <w:szCs w:val="24"/>
        </w:rPr>
      </w:pPr>
    </w:p>
    <w:p w14:paraId="57E2643C" w14:textId="75E65875" w:rsidR="00D5209F" w:rsidRDefault="00D5209F" w:rsidP="00D5209F">
      <w:pPr>
        <w:rPr>
          <w:rFonts w:asciiTheme="minorHAnsi" w:hAnsiTheme="minorHAnsi" w:cs="Arial"/>
          <w:szCs w:val="24"/>
        </w:rPr>
      </w:pPr>
      <w:r w:rsidRPr="00840056">
        <w:rPr>
          <w:rFonts w:asciiTheme="minorHAnsi" w:hAnsiTheme="minorHAnsi" w:cs="Arial"/>
          <w:szCs w:val="24"/>
        </w:rPr>
        <w:t>The application must include the following:</w:t>
      </w:r>
    </w:p>
    <w:p w14:paraId="232C462A" w14:textId="77777777" w:rsidR="00D5209F" w:rsidRPr="00840056" w:rsidRDefault="00D5209F" w:rsidP="00D5209F">
      <w:pPr>
        <w:pStyle w:val="ListParagraph"/>
        <w:numPr>
          <w:ilvl w:val="0"/>
          <w:numId w:val="12"/>
        </w:numPr>
        <w:rPr>
          <w:rFonts w:asciiTheme="minorHAnsi" w:hAnsiTheme="minorHAnsi" w:cs="Arial"/>
          <w:szCs w:val="24"/>
        </w:rPr>
      </w:pPr>
      <w:r w:rsidRPr="00840056">
        <w:rPr>
          <w:rFonts w:asciiTheme="minorHAnsi" w:hAnsiTheme="minorHAnsi" w:cs="Arial"/>
          <w:szCs w:val="24"/>
        </w:rPr>
        <w:t xml:space="preserve">Reasons for the </w:t>
      </w:r>
      <w:proofErr w:type="gramStart"/>
      <w:r w:rsidRPr="00840056">
        <w:rPr>
          <w:rFonts w:asciiTheme="minorHAnsi" w:hAnsiTheme="minorHAnsi" w:cs="Arial"/>
          <w:szCs w:val="24"/>
        </w:rPr>
        <w:t>application;</w:t>
      </w:r>
      <w:proofErr w:type="gramEnd"/>
    </w:p>
    <w:p w14:paraId="748C701A" w14:textId="24EE9D9B" w:rsidR="00D5209F" w:rsidRPr="00840056" w:rsidRDefault="00D5209F" w:rsidP="00D5209F">
      <w:pPr>
        <w:pStyle w:val="ListParagraph"/>
        <w:numPr>
          <w:ilvl w:val="0"/>
          <w:numId w:val="12"/>
        </w:numPr>
        <w:rPr>
          <w:rFonts w:asciiTheme="minorHAnsi" w:hAnsiTheme="minorHAnsi" w:cs="Arial"/>
          <w:szCs w:val="24"/>
        </w:rPr>
      </w:pPr>
      <w:r w:rsidRPr="00840056">
        <w:rPr>
          <w:rFonts w:asciiTheme="minorHAnsi" w:hAnsiTheme="minorHAnsi" w:cs="Arial"/>
          <w:szCs w:val="24"/>
        </w:rPr>
        <w:t xml:space="preserve">A proposed schedule of working hours, including how this will impact on existing work arrangements – </w:t>
      </w:r>
      <w:proofErr w:type="gramStart"/>
      <w:r w:rsidRPr="00840056">
        <w:rPr>
          <w:rFonts w:asciiTheme="minorHAnsi" w:hAnsiTheme="minorHAnsi" w:cs="Arial"/>
          <w:szCs w:val="24"/>
        </w:rPr>
        <w:t>e.g.</w:t>
      </w:r>
      <w:proofErr w:type="gramEnd"/>
      <w:r w:rsidRPr="00840056">
        <w:rPr>
          <w:rFonts w:asciiTheme="minorHAnsi" w:hAnsiTheme="minorHAnsi" w:cs="Arial"/>
          <w:szCs w:val="24"/>
        </w:rPr>
        <w:t xml:space="preserve"> clinics, surgical sessions, etc;</w:t>
      </w:r>
      <w:r w:rsidR="00E17A3D">
        <w:rPr>
          <w:rFonts w:asciiTheme="minorHAnsi" w:hAnsiTheme="minorHAnsi" w:cs="Arial"/>
          <w:szCs w:val="24"/>
        </w:rPr>
        <w:t xml:space="preserve"> and</w:t>
      </w:r>
    </w:p>
    <w:p w14:paraId="4AB59426" w14:textId="6AE2E870" w:rsidR="00D5209F" w:rsidRPr="00261F21" w:rsidRDefault="00D5209F" w:rsidP="00D5209F">
      <w:pPr>
        <w:pStyle w:val="ListParagraph"/>
        <w:numPr>
          <w:ilvl w:val="0"/>
          <w:numId w:val="12"/>
        </w:numPr>
        <w:rPr>
          <w:rFonts w:asciiTheme="minorHAnsi" w:hAnsiTheme="minorHAnsi" w:cs="Arial"/>
          <w:szCs w:val="24"/>
        </w:rPr>
      </w:pPr>
      <w:r w:rsidRPr="00261F21">
        <w:rPr>
          <w:rFonts w:asciiTheme="minorHAnsi" w:hAnsiTheme="minorHAnsi" w:cs="Arial"/>
          <w:szCs w:val="24"/>
        </w:rPr>
        <w:t>Details relevant to any existing agreements regarding work ratios</w:t>
      </w:r>
      <w:r w:rsidR="00177399" w:rsidRPr="00261F21">
        <w:rPr>
          <w:rFonts w:asciiTheme="minorHAnsi" w:hAnsiTheme="minorHAnsi" w:cs="Arial"/>
          <w:szCs w:val="24"/>
        </w:rPr>
        <w:t xml:space="preserve"> of clinical and non-clinical time (subclause 23.3 of the MPEA)</w:t>
      </w:r>
      <w:r w:rsidRPr="00261F21">
        <w:rPr>
          <w:rFonts w:asciiTheme="minorHAnsi" w:hAnsiTheme="minorHAnsi" w:cs="Arial"/>
          <w:szCs w:val="24"/>
        </w:rPr>
        <w:t>.</w:t>
      </w:r>
    </w:p>
    <w:p w14:paraId="330155A4" w14:textId="77777777" w:rsidR="00D5209F" w:rsidRPr="00261F21" w:rsidRDefault="00D5209F" w:rsidP="00D5209F">
      <w:pPr>
        <w:pStyle w:val="ListParagraph"/>
        <w:rPr>
          <w:rFonts w:asciiTheme="minorHAnsi" w:hAnsiTheme="minorHAnsi" w:cs="Arial"/>
          <w:szCs w:val="24"/>
        </w:rPr>
      </w:pPr>
    </w:p>
    <w:p w14:paraId="553F3444" w14:textId="504B823F" w:rsidR="00D5209F" w:rsidRDefault="00D5209F" w:rsidP="00D5209F">
      <w:pPr>
        <w:rPr>
          <w:rFonts w:asciiTheme="minorHAnsi" w:hAnsiTheme="minorHAnsi" w:cs="Arial"/>
          <w:szCs w:val="24"/>
        </w:rPr>
      </w:pPr>
      <w:r w:rsidRPr="00261F21">
        <w:rPr>
          <w:rFonts w:asciiTheme="minorHAnsi" w:hAnsiTheme="minorHAnsi" w:cs="Arial"/>
          <w:szCs w:val="24"/>
        </w:rPr>
        <w:t xml:space="preserve">Where </w:t>
      </w:r>
      <w:r w:rsidR="00177399" w:rsidRPr="00261F21">
        <w:rPr>
          <w:rFonts w:asciiTheme="minorHAnsi" w:hAnsiTheme="minorHAnsi" w:cs="Arial"/>
          <w:szCs w:val="24"/>
        </w:rPr>
        <w:t xml:space="preserve">a specialist or senior specialist seeks </w:t>
      </w:r>
      <w:r w:rsidRPr="00261F21">
        <w:rPr>
          <w:rFonts w:asciiTheme="minorHAnsi" w:hAnsiTheme="minorHAnsi" w:cs="Arial"/>
          <w:szCs w:val="24"/>
        </w:rPr>
        <w:t>approval for outside employment in conjunction with working</w:t>
      </w:r>
      <w:r w:rsidR="00177399" w:rsidRPr="00261F21">
        <w:rPr>
          <w:rFonts w:asciiTheme="minorHAnsi" w:hAnsiTheme="minorHAnsi" w:cs="Arial"/>
          <w:szCs w:val="24"/>
        </w:rPr>
        <w:t xml:space="preserve"> flexibly </w:t>
      </w:r>
      <w:r w:rsidR="00F502E2" w:rsidRPr="00261F21">
        <w:rPr>
          <w:rFonts w:asciiTheme="minorHAnsi" w:hAnsiTheme="minorHAnsi" w:cs="Arial"/>
          <w:szCs w:val="24"/>
        </w:rPr>
        <w:t xml:space="preserve">under this procedure, including any </w:t>
      </w:r>
      <w:r w:rsidR="00177399" w:rsidRPr="00261F21">
        <w:rPr>
          <w:rFonts w:asciiTheme="minorHAnsi" w:hAnsiTheme="minorHAnsi" w:cs="Arial"/>
          <w:szCs w:val="24"/>
        </w:rPr>
        <w:t>private practice commitments,</w:t>
      </w:r>
      <w:r w:rsidRPr="00261F21">
        <w:rPr>
          <w:rFonts w:asciiTheme="minorHAnsi" w:hAnsiTheme="minorHAnsi" w:cs="Arial"/>
          <w:szCs w:val="24"/>
        </w:rPr>
        <w:t xml:space="preserve"> a completed Application for Approval for </w:t>
      </w:r>
      <w:r w:rsidR="00177399" w:rsidRPr="00261F21">
        <w:rPr>
          <w:rFonts w:asciiTheme="minorHAnsi" w:hAnsiTheme="minorHAnsi" w:cs="Arial"/>
          <w:szCs w:val="24"/>
        </w:rPr>
        <w:t xml:space="preserve">Work Outside the Service form </w:t>
      </w:r>
      <w:r w:rsidRPr="00261F21">
        <w:rPr>
          <w:rFonts w:asciiTheme="minorHAnsi" w:hAnsiTheme="minorHAnsi" w:cs="Arial"/>
          <w:szCs w:val="24"/>
        </w:rPr>
        <w:t>must also be submitted</w:t>
      </w:r>
      <w:r w:rsidR="00635A03" w:rsidRPr="00261F21">
        <w:rPr>
          <w:rFonts w:asciiTheme="minorHAnsi" w:hAnsiTheme="minorHAnsi" w:cs="Arial"/>
          <w:szCs w:val="24"/>
        </w:rPr>
        <w:t xml:space="preserve">, available on the </w:t>
      </w:r>
      <w:hyperlink r:id="rId12" w:history="1">
        <w:r w:rsidR="00635A03" w:rsidRPr="00261F21">
          <w:rPr>
            <w:rStyle w:val="Hyperlink"/>
            <w:rFonts w:asciiTheme="minorHAnsi" w:hAnsiTheme="minorHAnsi" w:cs="Arial"/>
            <w:szCs w:val="24"/>
          </w:rPr>
          <w:t>Shared Services Intranet</w:t>
        </w:r>
      </w:hyperlink>
      <w:r w:rsidR="00740698" w:rsidRPr="00740698">
        <w:rPr>
          <w:rStyle w:val="Hyperlink"/>
          <w:rFonts w:asciiTheme="minorHAnsi" w:hAnsiTheme="minorHAnsi" w:cs="Arial"/>
          <w:color w:val="auto"/>
          <w:szCs w:val="24"/>
          <w:u w:val="none"/>
        </w:rPr>
        <w:t>, in accordance with the Second Job procedure</w:t>
      </w:r>
      <w:r w:rsidR="00635A03" w:rsidRPr="00261F21">
        <w:rPr>
          <w:rFonts w:asciiTheme="minorHAnsi" w:hAnsiTheme="minorHAnsi" w:cs="Arial"/>
          <w:szCs w:val="24"/>
        </w:rPr>
        <w:t>.</w:t>
      </w:r>
      <w:r w:rsidR="00635A03">
        <w:rPr>
          <w:rFonts w:asciiTheme="minorHAnsi" w:hAnsiTheme="minorHAnsi" w:cs="Arial"/>
          <w:szCs w:val="24"/>
        </w:rPr>
        <w:t xml:space="preserve"> </w:t>
      </w:r>
    </w:p>
    <w:p w14:paraId="2F51A892" w14:textId="7367AFC1" w:rsidR="007B6904" w:rsidRDefault="007B6904" w:rsidP="007B6904">
      <w:pPr>
        <w:rPr>
          <w:rFonts w:cs="Arial"/>
          <w:i/>
          <w:szCs w:val="24"/>
        </w:rPr>
      </w:pPr>
    </w:p>
    <w:p w14:paraId="2F51A893" w14:textId="77777777" w:rsidR="007B6904" w:rsidRDefault="00316E08" w:rsidP="007B6904">
      <w:pPr>
        <w:jc w:val="right"/>
        <w:rPr>
          <w:rFonts w:cs="Arial"/>
          <w:i/>
          <w:szCs w:val="24"/>
        </w:rPr>
      </w:pPr>
      <w:hyperlink w:anchor="Contents" w:history="1">
        <w:r w:rsidR="007B6904" w:rsidRPr="00590902">
          <w:rPr>
            <w:rStyle w:val="Hyperlink"/>
            <w:rFonts w:cs="Arial"/>
            <w:i/>
            <w:szCs w:val="24"/>
          </w:rPr>
          <w:t>Back to Table of Contents</w:t>
        </w:r>
      </w:hyperlink>
      <w:r w:rsidR="007B6904">
        <w:rPr>
          <w:rFonts w:cs="Arial"/>
          <w:i/>
          <w:szCs w:val="24"/>
        </w:rPr>
        <w:t xml:space="preserve"> </w:t>
      </w:r>
    </w:p>
    <w:p w14:paraId="2F51A894" w14:textId="77777777" w:rsidR="007B6904" w:rsidRDefault="007B6904" w:rsidP="007B6904">
      <w:pPr>
        <w:pStyle w:val="ProcedureTemplate"/>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96" w14:textId="77777777" w:rsidTr="0074223E">
        <w:trPr>
          <w:cantSplit/>
          <w:trHeight w:val="285"/>
        </w:trPr>
        <w:tc>
          <w:tcPr>
            <w:tcW w:w="9158" w:type="dxa"/>
            <w:shd w:val="clear" w:color="auto" w:fill="A6A6A6" w:themeFill="background1" w:themeFillShade="A6"/>
          </w:tcPr>
          <w:p w14:paraId="2F51A895" w14:textId="5C02AF66" w:rsidR="007B6904" w:rsidRPr="00C76688" w:rsidRDefault="007B6904" w:rsidP="004213C3">
            <w:pPr>
              <w:pStyle w:val="Heading1"/>
            </w:pPr>
            <w:bookmarkStart w:id="15" w:name="_Toc389473281"/>
            <w:bookmarkStart w:id="16" w:name="_Toc71711790"/>
            <w:r w:rsidRPr="00C76688">
              <w:t xml:space="preserve">Section 2 – </w:t>
            </w:r>
            <w:bookmarkEnd w:id="15"/>
            <w:r w:rsidR="00203F27">
              <w:t>Consideration of application</w:t>
            </w:r>
            <w:bookmarkEnd w:id="16"/>
          </w:p>
        </w:tc>
      </w:tr>
    </w:tbl>
    <w:p w14:paraId="2F51A897" w14:textId="77777777" w:rsidR="007B6904" w:rsidRDefault="007B6904" w:rsidP="007B6904">
      <w:pPr>
        <w:rPr>
          <w:rFonts w:cs="Arial"/>
          <w:b/>
          <w:szCs w:val="24"/>
        </w:rPr>
      </w:pPr>
    </w:p>
    <w:p w14:paraId="47B3D7B2" w14:textId="2E6BDB1B" w:rsidR="00203F27" w:rsidRDefault="00203F27" w:rsidP="00203F27">
      <w:pPr>
        <w:rPr>
          <w:rFonts w:asciiTheme="minorHAnsi" w:hAnsiTheme="minorHAnsi" w:cs="Arial"/>
          <w:szCs w:val="24"/>
        </w:rPr>
      </w:pPr>
      <w:r w:rsidRPr="00840056">
        <w:rPr>
          <w:rFonts w:asciiTheme="minorHAnsi" w:hAnsiTheme="minorHAnsi" w:cs="Arial"/>
          <w:szCs w:val="24"/>
        </w:rPr>
        <w:t xml:space="preserve">In considering applications, the </w:t>
      </w:r>
      <w:r w:rsidR="00E9759B">
        <w:rPr>
          <w:rFonts w:asciiTheme="minorHAnsi" w:hAnsiTheme="minorHAnsi" w:cs="Arial"/>
          <w:szCs w:val="24"/>
        </w:rPr>
        <w:t>Clinical Director/Line Management</w:t>
      </w:r>
      <w:r w:rsidRPr="00840056">
        <w:rPr>
          <w:rFonts w:asciiTheme="minorHAnsi" w:hAnsiTheme="minorHAnsi" w:cs="Arial"/>
          <w:szCs w:val="24"/>
        </w:rPr>
        <w:t xml:space="preserve"> will:</w:t>
      </w:r>
    </w:p>
    <w:p w14:paraId="065EC3BB" w14:textId="4820E131" w:rsidR="00203F27" w:rsidRDefault="00853D0E" w:rsidP="00853D0E">
      <w:pPr>
        <w:pStyle w:val="ListParagraph"/>
        <w:numPr>
          <w:ilvl w:val="0"/>
          <w:numId w:val="19"/>
        </w:numPr>
        <w:rPr>
          <w:rFonts w:asciiTheme="minorHAnsi" w:hAnsiTheme="minorHAnsi" w:cs="Arial"/>
          <w:szCs w:val="24"/>
        </w:rPr>
      </w:pPr>
      <w:r>
        <w:rPr>
          <w:rFonts w:asciiTheme="minorHAnsi" w:hAnsiTheme="minorHAnsi" w:cs="Arial"/>
          <w:szCs w:val="24"/>
        </w:rPr>
        <w:t xml:space="preserve">consider operational </w:t>
      </w:r>
      <w:proofErr w:type="gramStart"/>
      <w:r>
        <w:rPr>
          <w:rFonts w:asciiTheme="minorHAnsi" w:hAnsiTheme="minorHAnsi" w:cs="Arial"/>
          <w:szCs w:val="24"/>
        </w:rPr>
        <w:t>requirements;</w:t>
      </w:r>
      <w:proofErr w:type="gramEnd"/>
    </w:p>
    <w:p w14:paraId="306BE473" w14:textId="7D9DC749" w:rsidR="00853D0E" w:rsidRDefault="00853D0E" w:rsidP="00853D0E">
      <w:pPr>
        <w:pStyle w:val="ListParagraph"/>
        <w:numPr>
          <w:ilvl w:val="0"/>
          <w:numId w:val="19"/>
        </w:numPr>
        <w:rPr>
          <w:rFonts w:asciiTheme="minorHAnsi" w:hAnsiTheme="minorHAnsi" w:cs="Arial"/>
          <w:szCs w:val="24"/>
        </w:rPr>
      </w:pPr>
      <w:r>
        <w:rPr>
          <w:rFonts w:asciiTheme="minorHAnsi" w:hAnsiTheme="minorHAnsi" w:cs="Arial"/>
          <w:szCs w:val="24"/>
        </w:rPr>
        <w:t xml:space="preserve">consider if a request for outside employment may constitute any potential or actual conflict of </w:t>
      </w:r>
      <w:proofErr w:type="gramStart"/>
      <w:r>
        <w:rPr>
          <w:rFonts w:asciiTheme="minorHAnsi" w:hAnsiTheme="minorHAnsi" w:cs="Arial"/>
          <w:szCs w:val="24"/>
        </w:rPr>
        <w:t>interest;</w:t>
      </w:r>
      <w:proofErr w:type="gramEnd"/>
    </w:p>
    <w:p w14:paraId="28F33EA5" w14:textId="33CCA22C" w:rsidR="00853D0E" w:rsidRDefault="00853D0E" w:rsidP="00853D0E">
      <w:pPr>
        <w:pStyle w:val="ListParagraph"/>
        <w:numPr>
          <w:ilvl w:val="0"/>
          <w:numId w:val="19"/>
        </w:numPr>
        <w:rPr>
          <w:rFonts w:asciiTheme="minorHAnsi" w:hAnsiTheme="minorHAnsi" w:cs="Arial"/>
          <w:szCs w:val="24"/>
        </w:rPr>
      </w:pPr>
      <w:r>
        <w:rPr>
          <w:rFonts w:asciiTheme="minorHAnsi" w:hAnsiTheme="minorHAnsi" w:cs="Arial"/>
          <w:szCs w:val="24"/>
        </w:rPr>
        <w:t xml:space="preserve">ensure that the applicant will continue to work their normal hours over a period of no fewer than 4 days per </w:t>
      </w:r>
      <w:proofErr w:type="gramStart"/>
      <w:r>
        <w:rPr>
          <w:rFonts w:asciiTheme="minorHAnsi" w:hAnsiTheme="minorHAnsi" w:cs="Arial"/>
          <w:szCs w:val="24"/>
        </w:rPr>
        <w:t>week;</w:t>
      </w:r>
      <w:proofErr w:type="gramEnd"/>
    </w:p>
    <w:p w14:paraId="3F08A1CA" w14:textId="6731C475" w:rsidR="00461E2D" w:rsidRPr="00261F21" w:rsidRDefault="00B51D23" w:rsidP="00853D0E">
      <w:pPr>
        <w:pStyle w:val="ListParagraph"/>
        <w:numPr>
          <w:ilvl w:val="0"/>
          <w:numId w:val="19"/>
        </w:numPr>
        <w:rPr>
          <w:rFonts w:asciiTheme="minorHAnsi" w:hAnsiTheme="minorHAnsi" w:cs="Arial"/>
          <w:szCs w:val="24"/>
        </w:rPr>
      </w:pPr>
      <w:r>
        <w:rPr>
          <w:rFonts w:asciiTheme="minorHAnsi" w:hAnsiTheme="minorHAnsi" w:cs="Arial"/>
          <w:szCs w:val="24"/>
        </w:rPr>
        <w:t xml:space="preserve">ensure that the arrangement will not adversely affect the work performance of the employee in </w:t>
      </w:r>
      <w:r w:rsidRPr="00261F21">
        <w:rPr>
          <w:rFonts w:asciiTheme="minorHAnsi" w:hAnsiTheme="minorHAnsi" w:cs="Arial"/>
          <w:szCs w:val="24"/>
        </w:rPr>
        <w:t>their CHS position</w:t>
      </w:r>
      <w:r w:rsidR="00635A03" w:rsidRPr="00261F21">
        <w:rPr>
          <w:rFonts w:asciiTheme="minorHAnsi" w:hAnsiTheme="minorHAnsi" w:cs="Arial"/>
          <w:szCs w:val="24"/>
        </w:rPr>
        <w:t>; and</w:t>
      </w:r>
    </w:p>
    <w:p w14:paraId="7F712CFC" w14:textId="49CE5E4A" w:rsidR="007E5FF1" w:rsidRPr="00261F21" w:rsidRDefault="00461E2D" w:rsidP="00853D0E">
      <w:pPr>
        <w:pStyle w:val="ListParagraph"/>
        <w:numPr>
          <w:ilvl w:val="0"/>
          <w:numId w:val="19"/>
        </w:numPr>
        <w:rPr>
          <w:rFonts w:asciiTheme="minorHAnsi" w:hAnsiTheme="minorHAnsi" w:cs="Arial"/>
          <w:szCs w:val="24"/>
        </w:rPr>
      </w:pPr>
      <w:r w:rsidRPr="00261F21">
        <w:rPr>
          <w:rFonts w:asciiTheme="minorHAnsi" w:hAnsiTheme="minorHAnsi" w:cs="Arial"/>
          <w:szCs w:val="24"/>
        </w:rPr>
        <w:t>provide applicants with a response within a reasonable timeframe</w:t>
      </w:r>
      <w:r w:rsidR="00690A68" w:rsidRPr="00261F21">
        <w:rPr>
          <w:rFonts w:asciiTheme="minorHAnsi" w:hAnsiTheme="minorHAnsi" w:cs="Arial"/>
          <w:szCs w:val="24"/>
        </w:rPr>
        <w:t xml:space="preserve"> (4 weeks</w:t>
      </w:r>
      <w:r w:rsidR="007E5FF1" w:rsidRPr="00261F21">
        <w:rPr>
          <w:rFonts w:asciiTheme="minorHAnsi" w:hAnsiTheme="minorHAnsi" w:cs="Arial"/>
          <w:szCs w:val="24"/>
        </w:rPr>
        <w:t xml:space="preserve"> where practicable</w:t>
      </w:r>
      <w:r w:rsidR="00690A68" w:rsidRPr="00261F21">
        <w:rPr>
          <w:rFonts w:asciiTheme="minorHAnsi" w:hAnsiTheme="minorHAnsi" w:cs="Arial"/>
          <w:szCs w:val="24"/>
        </w:rPr>
        <w:t>)</w:t>
      </w:r>
      <w:r w:rsidR="007E5FF1" w:rsidRPr="00261F21">
        <w:rPr>
          <w:rFonts w:asciiTheme="minorHAnsi" w:hAnsiTheme="minorHAnsi" w:cs="Arial"/>
          <w:szCs w:val="24"/>
        </w:rPr>
        <w:t xml:space="preserve">. </w:t>
      </w:r>
    </w:p>
    <w:p w14:paraId="3F6282DE" w14:textId="77777777" w:rsidR="007E5FF1" w:rsidRDefault="007E5FF1" w:rsidP="007E5FF1">
      <w:pPr>
        <w:rPr>
          <w:rFonts w:asciiTheme="minorHAnsi" w:hAnsiTheme="minorHAnsi" w:cs="Arial"/>
          <w:szCs w:val="24"/>
          <w:highlight w:val="yellow"/>
        </w:rPr>
      </w:pPr>
    </w:p>
    <w:p w14:paraId="346C7FC8" w14:textId="2043DD6B" w:rsidR="007E5FF1" w:rsidRPr="007E5FF1" w:rsidRDefault="007E5FF1" w:rsidP="007E5FF1">
      <w:pPr>
        <w:rPr>
          <w:rFonts w:asciiTheme="minorHAnsi" w:hAnsiTheme="minorHAnsi" w:cs="Arial"/>
          <w:szCs w:val="24"/>
        </w:rPr>
      </w:pPr>
      <w:r w:rsidRPr="007E5FF1">
        <w:rPr>
          <w:rFonts w:asciiTheme="minorHAnsi" w:hAnsiTheme="minorHAnsi" w:cs="Arial"/>
          <w:szCs w:val="24"/>
        </w:rPr>
        <w:t xml:space="preserve">There may be rare circumstances where a response cannot be provided within 4 weeks. In such circumstances, the applicant will be notified within the 4-week period </w:t>
      </w:r>
      <w:r>
        <w:rPr>
          <w:rFonts w:asciiTheme="minorHAnsi" w:hAnsiTheme="minorHAnsi" w:cs="Arial"/>
          <w:szCs w:val="24"/>
        </w:rPr>
        <w:t>of the anticipated delay in the</w:t>
      </w:r>
      <w:r w:rsidRPr="007E5FF1">
        <w:rPr>
          <w:rFonts w:asciiTheme="minorHAnsi" w:hAnsiTheme="minorHAnsi" w:cs="Arial"/>
          <w:szCs w:val="24"/>
        </w:rPr>
        <w:t xml:space="preserve"> response</w:t>
      </w:r>
      <w:r>
        <w:rPr>
          <w:rFonts w:asciiTheme="minorHAnsi" w:hAnsiTheme="minorHAnsi" w:cs="Arial"/>
          <w:szCs w:val="24"/>
        </w:rPr>
        <w:t>. The Head of Service (or delegate) will provide applicants with a response as soon as is reasonably practicable.</w:t>
      </w:r>
    </w:p>
    <w:p w14:paraId="6FA8BFF6" w14:textId="77777777" w:rsidR="00853D0E" w:rsidRPr="00840056" w:rsidRDefault="00853D0E" w:rsidP="00203F27">
      <w:pPr>
        <w:rPr>
          <w:rFonts w:asciiTheme="minorHAnsi" w:hAnsiTheme="minorHAnsi" w:cs="Arial"/>
          <w:szCs w:val="24"/>
        </w:rPr>
      </w:pPr>
    </w:p>
    <w:p w14:paraId="692F79F7" w14:textId="1C43EAB3" w:rsidR="00337CAC" w:rsidRDefault="00203F27" w:rsidP="007B6904">
      <w:pPr>
        <w:rPr>
          <w:rFonts w:asciiTheme="minorHAnsi" w:hAnsiTheme="minorHAnsi" w:cs="Arial"/>
          <w:szCs w:val="24"/>
        </w:rPr>
      </w:pPr>
      <w:r w:rsidRPr="00840056">
        <w:rPr>
          <w:rFonts w:asciiTheme="minorHAnsi" w:hAnsiTheme="minorHAnsi" w:cs="Arial"/>
          <w:szCs w:val="24"/>
        </w:rPr>
        <w:lastRenderedPageBreak/>
        <w:t xml:space="preserve">If an application is denied, the </w:t>
      </w:r>
      <w:r w:rsidR="00635A03" w:rsidRPr="00840056">
        <w:rPr>
          <w:rFonts w:asciiTheme="minorHAnsi" w:hAnsiTheme="minorHAnsi" w:cs="Arial"/>
          <w:szCs w:val="24"/>
        </w:rPr>
        <w:t xml:space="preserve">Head of Service (or delegate) </w:t>
      </w:r>
      <w:r w:rsidR="00635A03">
        <w:rPr>
          <w:rFonts w:asciiTheme="minorHAnsi" w:hAnsiTheme="minorHAnsi" w:cs="Arial"/>
          <w:szCs w:val="24"/>
        </w:rPr>
        <w:t xml:space="preserve">will provide </w:t>
      </w:r>
      <w:r w:rsidRPr="00840056">
        <w:rPr>
          <w:rFonts w:asciiTheme="minorHAnsi" w:hAnsiTheme="minorHAnsi" w:cs="Arial"/>
          <w:szCs w:val="24"/>
        </w:rPr>
        <w:t>reasons to the applicant in writing</w:t>
      </w:r>
      <w:r w:rsidR="007C3FB8">
        <w:rPr>
          <w:rFonts w:asciiTheme="minorHAnsi" w:hAnsiTheme="minorHAnsi" w:cs="Arial"/>
          <w:szCs w:val="24"/>
        </w:rPr>
        <w:t>.</w:t>
      </w:r>
      <w:r w:rsidR="00337CAC">
        <w:rPr>
          <w:rFonts w:asciiTheme="minorHAnsi" w:hAnsiTheme="minorHAnsi" w:cs="Arial"/>
          <w:szCs w:val="24"/>
        </w:rPr>
        <w:t xml:space="preserve"> An employee who has had their application denied may seek an internal review of that decision in accordance with Section P of the </w:t>
      </w:r>
      <w:r w:rsidR="00E17A3D">
        <w:rPr>
          <w:rFonts w:asciiTheme="minorHAnsi" w:hAnsiTheme="minorHAnsi" w:cs="Arial"/>
          <w:szCs w:val="24"/>
        </w:rPr>
        <w:t>MPEA</w:t>
      </w:r>
      <w:r w:rsidR="00337CAC">
        <w:rPr>
          <w:rFonts w:asciiTheme="minorHAnsi" w:hAnsiTheme="minorHAnsi" w:cs="Arial"/>
          <w:szCs w:val="24"/>
        </w:rPr>
        <w:t>.</w:t>
      </w:r>
    </w:p>
    <w:p w14:paraId="2F51A89F" w14:textId="0AD6B020" w:rsidR="007B6904" w:rsidRPr="00337CAC" w:rsidRDefault="00337CAC" w:rsidP="007B6904">
      <w:pPr>
        <w:rPr>
          <w:rFonts w:asciiTheme="minorHAnsi" w:hAnsiTheme="minorHAnsi" w:cs="Arial"/>
          <w:szCs w:val="24"/>
        </w:rPr>
      </w:pPr>
      <w:r>
        <w:rPr>
          <w:rFonts w:asciiTheme="minorHAnsi" w:hAnsiTheme="minorHAnsi" w:cs="Arial"/>
          <w:szCs w:val="24"/>
        </w:rPr>
        <w:t xml:space="preserve"> </w:t>
      </w:r>
      <w:r w:rsidR="00931B93">
        <w:rPr>
          <w:rFonts w:cs="Arial"/>
          <w:i/>
          <w:szCs w:val="24"/>
        </w:rPr>
        <w:t xml:space="preserve"> </w:t>
      </w:r>
    </w:p>
    <w:p w14:paraId="488BC311" w14:textId="66323E3B" w:rsidR="00B8608E" w:rsidRDefault="00316E08" w:rsidP="007B6904">
      <w:pPr>
        <w:jc w:val="right"/>
        <w:rPr>
          <w:rFonts w:cs="Arial"/>
          <w:i/>
          <w:szCs w:val="24"/>
        </w:rPr>
      </w:pPr>
      <w:hyperlink w:anchor="Contents" w:history="1">
        <w:r w:rsidR="007B6904" w:rsidRPr="00590902">
          <w:rPr>
            <w:rStyle w:val="Hyperlink"/>
            <w:rFonts w:cs="Arial"/>
            <w:i/>
            <w:szCs w:val="24"/>
          </w:rPr>
          <w:t>Back to Table of Contents</w:t>
        </w:r>
      </w:hyperlink>
    </w:p>
    <w:p w14:paraId="2F51A8A1" w14:textId="77777777" w:rsidR="007B6904" w:rsidRDefault="007B6904" w:rsidP="007B6904">
      <w:pPr>
        <w:pStyle w:val="ProcedureTemplate"/>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A3" w14:textId="77777777" w:rsidTr="0074223E">
        <w:trPr>
          <w:cantSplit/>
          <w:trHeight w:val="285"/>
        </w:trPr>
        <w:tc>
          <w:tcPr>
            <w:tcW w:w="9158" w:type="dxa"/>
            <w:shd w:val="clear" w:color="auto" w:fill="A6A6A6" w:themeFill="background1" w:themeFillShade="A6"/>
          </w:tcPr>
          <w:p w14:paraId="2F51A8A2" w14:textId="42EC7214" w:rsidR="007B6904" w:rsidRPr="003D2D06" w:rsidRDefault="00962C46" w:rsidP="004213C3">
            <w:pPr>
              <w:pStyle w:val="Heading1"/>
            </w:pPr>
            <w:bookmarkStart w:id="17" w:name="_Toc389473284"/>
            <w:bookmarkStart w:id="18" w:name="_Toc71711791"/>
            <w:r>
              <w:t xml:space="preserve">Section </w:t>
            </w:r>
            <w:r w:rsidR="007C3FB8">
              <w:t>3</w:t>
            </w:r>
            <w:r w:rsidR="007B6904" w:rsidRPr="003D2D06">
              <w:t xml:space="preserve"> – </w:t>
            </w:r>
            <w:bookmarkEnd w:id="17"/>
            <w:r w:rsidR="007C3FB8">
              <w:t>Approval period</w:t>
            </w:r>
            <w:bookmarkEnd w:id="18"/>
          </w:p>
        </w:tc>
      </w:tr>
    </w:tbl>
    <w:p w14:paraId="2F51A8A4" w14:textId="77777777" w:rsidR="007B6904" w:rsidRDefault="007B6904" w:rsidP="007B6904">
      <w:pPr>
        <w:pStyle w:val="Heading2"/>
      </w:pPr>
    </w:p>
    <w:p w14:paraId="0EE9DCF9" w14:textId="34E8F3A1" w:rsidR="00B51D23" w:rsidRPr="00261F21" w:rsidRDefault="00F502E2" w:rsidP="00FC0DC5">
      <w:pPr>
        <w:rPr>
          <w:rFonts w:asciiTheme="minorHAnsi" w:hAnsiTheme="minorHAnsi" w:cs="Arial"/>
          <w:szCs w:val="24"/>
        </w:rPr>
      </w:pPr>
      <w:r w:rsidRPr="00261F21">
        <w:rPr>
          <w:rFonts w:asciiTheme="minorHAnsi" w:hAnsiTheme="minorHAnsi" w:cs="Arial"/>
          <w:szCs w:val="24"/>
        </w:rPr>
        <w:t>In accordance with subclause 23.15 of the MPEA, a</w:t>
      </w:r>
      <w:r w:rsidR="00B51D23" w:rsidRPr="00261F21">
        <w:rPr>
          <w:rFonts w:asciiTheme="minorHAnsi" w:hAnsiTheme="minorHAnsi" w:cs="Arial"/>
          <w:szCs w:val="24"/>
        </w:rPr>
        <w:t xml:space="preserve">pprovals will be granted only for the current </w:t>
      </w:r>
      <w:r w:rsidR="00635A03" w:rsidRPr="00261F21">
        <w:rPr>
          <w:rFonts w:asciiTheme="minorHAnsi" w:hAnsiTheme="minorHAnsi" w:cs="Arial"/>
          <w:szCs w:val="24"/>
        </w:rPr>
        <w:t xml:space="preserve">calendar </w:t>
      </w:r>
      <w:r w:rsidR="00B51D23" w:rsidRPr="00261F21">
        <w:rPr>
          <w:rFonts w:asciiTheme="minorHAnsi" w:hAnsiTheme="minorHAnsi" w:cs="Arial"/>
          <w:szCs w:val="24"/>
        </w:rPr>
        <w:t xml:space="preserve">year in which the approval was made.  </w:t>
      </w:r>
    </w:p>
    <w:p w14:paraId="37732082" w14:textId="012A1A64" w:rsidR="00B51D23" w:rsidRPr="00261F21" w:rsidRDefault="00B51D23" w:rsidP="00FC0DC5">
      <w:pPr>
        <w:rPr>
          <w:rFonts w:asciiTheme="minorHAnsi" w:hAnsiTheme="minorHAnsi" w:cs="Arial"/>
          <w:szCs w:val="24"/>
        </w:rPr>
      </w:pPr>
    </w:p>
    <w:p w14:paraId="4743101F" w14:textId="2119687D" w:rsidR="00B51D23" w:rsidRPr="00261F21" w:rsidRDefault="00B51D23" w:rsidP="00FC0DC5">
      <w:pPr>
        <w:rPr>
          <w:rFonts w:asciiTheme="minorHAnsi" w:hAnsiTheme="minorHAnsi" w:cs="Arial"/>
          <w:szCs w:val="24"/>
        </w:rPr>
      </w:pPr>
      <w:r w:rsidRPr="00261F21">
        <w:rPr>
          <w:rFonts w:asciiTheme="minorHAnsi" w:hAnsiTheme="minorHAnsi" w:cs="Arial"/>
          <w:szCs w:val="24"/>
        </w:rPr>
        <w:t xml:space="preserve">It will be the responsibility </w:t>
      </w:r>
      <w:r w:rsidR="00461E2D" w:rsidRPr="00261F21">
        <w:rPr>
          <w:rFonts w:asciiTheme="minorHAnsi" w:hAnsiTheme="minorHAnsi" w:cs="Arial"/>
          <w:szCs w:val="24"/>
        </w:rPr>
        <w:t xml:space="preserve">of the employee to ensure that they </w:t>
      </w:r>
      <w:r w:rsidR="00C01E54">
        <w:rPr>
          <w:rFonts w:asciiTheme="minorHAnsi" w:hAnsiTheme="minorHAnsi" w:cs="Arial"/>
          <w:szCs w:val="24"/>
        </w:rPr>
        <w:t>reapply</w:t>
      </w:r>
      <w:r w:rsidR="00955407">
        <w:rPr>
          <w:rFonts w:asciiTheme="minorHAnsi" w:hAnsiTheme="minorHAnsi" w:cs="Arial"/>
          <w:szCs w:val="24"/>
        </w:rPr>
        <w:t xml:space="preserve"> annually</w:t>
      </w:r>
      <w:r w:rsidR="00461E2D" w:rsidRPr="00261F21">
        <w:rPr>
          <w:rFonts w:asciiTheme="minorHAnsi" w:hAnsiTheme="minorHAnsi" w:cs="Arial"/>
          <w:szCs w:val="24"/>
        </w:rPr>
        <w:t xml:space="preserve"> </w:t>
      </w:r>
      <w:r w:rsidR="00E17A3D">
        <w:rPr>
          <w:rFonts w:asciiTheme="minorHAnsi" w:hAnsiTheme="minorHAnsi" w:cs="Arial"/>
          <w:szCs w:val="24"/>
        </w:rPr>
        <w:t xml:space="preserve">with sufficient time for renewed approval </w:t>
      </w:r>
      <w:r w:rsidR="00461E2D" w:rsidRPr="00261F21">
        <w:rPr>
          <w:rFonts w:asciiTheme="minorHAnsi" w:hAnsiTheme="minorHAnsi" w:cs="Arial"/>
          <w:szCs w:val="24"/>
        </w:rPr>
        <w:t xml:space="preserve">prior to the expiration of the year. The approving delegate will provide a response to the application </w:t>
      </w:r>
      <w:r w:rsidR="00635A03" w:rsidRPr="00261F21">
        <w:rPr>
          <w:rFonts w:asciiTheme="minorHAnsi" w:hAnsiTheme="minorHAnsi" w:cs="Arial"/>
          <w:szCs w:val="24"/>
        </w:rPr>
        <w:t>as soon as is reasonably practicable and</w:t>
      </w:r>
      <w:r w:rsidR="003A64A9" w:rsidRPr="00261F21">
        <w:rPr>
          <w:rFonts w:asciiTheme="minorHAnsi" w:hAnsiTheme="minorHAnsi" w:cs="Arial"/>
          <w:szCs w:val="24"/>
        </w:rPr>
        <w:t xml:space="preserve">, subject to Section 2, </w:t>
      </w:r>
      <w:r w:rsidR="00690A68" w:rsidRPr="00261F21">
        <w:rPr>
          <w:rFonts w:asciiTheme="minorHAnsi" w:hAnsiTheme="minorHAnsi" w:cs="Arial"/>
          <w:szCs w:val="24"/>
        </w:rPr>
        <w:t>no</w:t>
      </w:r>
      <w:r w:rsidR="007E5FF1" w:rsidRPr="00261F21">
        <w:rPr>
          <w:rFonts w:asciiTheme="minorHAnsi" w:hAnsiTheme="minorHAnsi" w:cs="Arial"/>
          <w:szCs w:val="24"/>
        </w:rPr>
        <w:t>t</w:t>
      </w:r>
      <w:r w:rsidR="00690A68" w:rsidRPr="00261F21">
        <w:rPr>
          <w:rFonts w:asciiTheme="minorHAnsi" w:hAnsiTheme="minorHAnsi" w:cs="Arial"/>
          <w:szCs w:val="24"/>
        </w:rPr>
        <w:t xml:space="preserve"> more than 4 weeks</w:t>
      </w:r>
      <w:r w:rsidR="007E5FF1" w:rsidRPr="00261F21">
        <w:rPr>
          <w:rFonts w:asciiTheme="minorHAnsi" w:hAnsiTheme="minorHAnsi" w:cs="Arial"/>
          <w:szCs w:val="24"/>
        </w:rPr>
        <w:t xml:space="preserve"> after the application was made</w:t>
      </w:r>
      <w:r w:rsidR="00261F21">
        <w:rPr>
          <w:rFonts w:asciiTheme="minorHAnsi" w:hAnsiTheme="minorHAnsi" w:cs="Arial"/>
          <w:szCs w:val="24"/>
        </w:rPr>
        <w:t>.</w:t>
      </w:r>
    </w:p>
    <w:p w14:paraId="138C38F2" w14:textId="0571577C" w:rsidR="00461E2D" w:rsidRPr="00261F21" w:rsidRDefault="00461E2D" w:rsidP="00FC0DC5">
      <w:pPr>
        <w:rPr>
          <w:rFonts w:asciiTheme="minorHAnsi" w:hAnsiTheme="minorHAnsi" w:cs="Arial"/>
          <w:szCs w:val="24"/>
        </w:rPr>
      </w:pPr>
    </w:p>
    <w:p w14:paraId="184A7BC1" w14:textId="7BF2B56C" w:rsidR="00461E2D" w:rsidRPr="00261F21" w:rsidRDefault="00461E2D" w:rsidP="00461E2D">
      <w:pPr>
        <w:rPr>
          <w:rFonts w:asciiTheme="minorHAnsi" w:hAnsiTheme="minorHAnsi" w:cs="Arial"/>
          <w:szCs w:val="24"/>
        </w:rPr>
      </w:pPr>
      <w:r w:rsidRPr="00261F21">
        <w:rPr>
          <w:rFonts w:asciiTheme="minorHAnsi" w:hAnsiTheme="minorHAnsi" w:cs="Arial"/>
          <w:szCs w:val="24"/>
        </w:rPr>
        <w:t xml:space="preserve">If approval is not obtained before the commencement of the next </w:t>
      </w:r>
      <w:r w:rsidR="007E5FF1" w:rsidRPr="00261F21">
        <w:rPr>
          <w:rFonts w:asciiTheme="minorHAnsi" w:hAnsiTheme="minorHAnsi" w:cs="Arial"/>
          <w:szCs w:val="24"/>
        </w:rPr>
        <w:t xml:space="preserve">calendar </w:t>
      </w:r>
      <w:proofErr w:type="gramStart"/>
      <w:r w:rsidRPr="00261F21">
        <w:rPr>
          <w:rFonts w:asciiTheme="minorHAnsi" w:hAnsiTheme="minorHAnsi" w:cs="Arial"/>
          <w:szCs w:val="24"/>
        </w:rPr>
        <w:t>year</w:t>
      </w:r>
      <w:proofErr w:type="gramEnd"/>
      <w:r w:rsidRPr="00261F21">
        <w:rPr>
          <w:rFonts w:asciiTheme="minorHAnsi" w:hAnsiTheme="minorHAnsi" w:cs="Arial"/>
          <w:szCs w:val="24"/>
        </w:rPr>
        <w:t xml:space="preserve"> then the employee is not authorised to continue the arrangement and will revert to their previous working arrangements.</w:t>
      </w:r>
    </w:p>
    <w:p w14:paraId="7C7A5EC5" w14:textId="77777777" w:rsidR="00461E2D" w:rsidRPr="00261F21" w:rsidRDefault="00461E2D" w:rsidP="00461E2D">
      <w:pPr>
        <w:rPr>
          <w:rFonts w:asciiTheme="minorHAnsi" w:hAnsiTheme="minorHAnsi" w:cs="Arial"/>
          <w:szCs w:val="24"/>
        </w:rPr>
      </w:pPr>
    </w:p>
    <w:p w14:paraId="7D92AC97" w14:textId="77777777" w:rsidR="00461E2D" w:rsidRPr="00261F21" w:rsidRDefault="00461E2D" w:rsidP="00461E2D">
      <w:pPr>
        <w:rPr>
          <w:rFonts w:asciiTheme="minorHAnsi" w:hAnsiTheme="minorHAnsi" w:cs="Arial"/>
          <w:szCs w:val="24"/>
        </w:rPr>
      </w:pPr>
      <w:r w:rsidRPr="00261F21">
        <w:rPr>
          <w:rFonts w:asciiTheme="minorHAnsi" w:hAnsiTheme="minorHAnsi" w:cs="Arial"/>
          <w:szCs w:val="24"/>
        </w:rPr>
        <w:t>Any alteration to the approval will require agreement between the Head of Service (or delegate) and the employee.</w:t>
      </w:r>
    </w:p>
    <w:p w14:paraId="7EF414F6" w14:textId="77777777" w:rsidR="00461E2D" w:rsidRPr="00261F21" w:rsidRDefault="00461E2D" w:rsidP="00461E2D">
      <w:pPr>
        <w:rPr>
          <w:rFonts w:asciiTheme="minorHAnsi" w:hAnsiTheme="minorHAnsi" w:cs="Arial"/>
          <w:szCs w:val="24"/>
        </w:rPr>
      </w:pPr>
    </w:p>
    <w:p w14:paraId="74D52829" w14:textId="66CA3A2F" w:rsidR="00461E2D" w:rsidRPr="00261F21" w:rsidRDefault="00461E2D" w:rsidP="00461E2D">
      <w:pPr>
        <w:rPr>
          <w:rFonts w:asciiTheme="minorHAnsi" w:hAnsiTheme="minorHAnsi" w:cs="Arial"/>
          <w:szCs w:val="24"/>
        </w:rPr>
      </w:pPr>
      <w:r w:rsidRPr="00261F21">
        <w:rPr>
          <w:rFonts w:asciiTheme="minorHAnsi" w:hAnsiTheme="minorHAnsi" w:cs="Arial"/>
          <w:szCs w:val="24"/>
        </w:rPr>
        <w:t>Approvals may be suspended</w:t>
      </w:r>
      <w:r w:rsidR="007E5FF1" w:rsidRPr="00261F21">
        <w:rPr>
          <w:rFonts w:asciiTheme="minorHAnsi" w:hAnsiTheme="minorHAnsi" w:cs="Arial"/>
          <w:szCs w:val="24"/>
        </w:rPr>
        <w:t xml:space="preserve"> by the Head of Service (or delegate)</w:t>
      </w:r>
      <w:r w:rsidRPr="00261F21">
        <w:rPr>
          <w:rFonts w:asciiTheme="minorHAnsi" w:hAnsiTheme="minorHAnsi" w:cs="Arial"/>
          <w:szCs w:val="24"/>
        </w:rPr>
        <w:t xml:space="preserve"> for extenuating circumstances by notice in writing.</w:t>
      </w:r>
      <w:r w:rsidR="00337CAC">
        <w:rPr>
          <w:rFonts w:asciiTheme="minorHAnsi" w:hAnsiTheme="minorHAnsi" w:cs="Arial"/>
          <w:szCs w:val="24"/>
        </w:rPr>
        <w:t xml:space="preserve"> </w:t>
      </w:r>
    </w:p>
    <w:p w14:paraId="32CDEBC4" w14:textId="20DA9A98" w:rsidR="00690A68" w:rsidRPr="00261F21" w:rsidRDefault="00690A68" w:rsidP="00461E2D">
      <w:pPr>
        <w:rPr>
          <w:rFonts w:asciiTheme="minorHAnsi" w:hAnsiTheme="minorHAnsi" w:cs="Arial"/>
          <w:szCs w:val="24"/>
        </w:rPr>
      </w:pPr>
    </w:p>
    <w:p w14:paraId="6835F308" w14:textId="308A52B3" w:rsidR="00461E2D" w:rsidRDefault="00690A68" w:rsidP="00FC0DC5">
      <w:pPr>
        <w:rPr>
          <w:rFonts w:asciiTheme="minorHAnsi" w:hAnsiTheme="minorHAnsi" w:cs="Arial"/>
          <w:szCs w:val="24"/>
        </w:rPr>
      </w:pPr>
      <w:r w:rsidRPr="00261F21">
        <w:rPr>
          <w:rFonts w:asciiTheme="minorHAnsi" w:hAnsiTheme="minorHAnsi" w:cs="Arial"/>
          <w:szCs w:val="24"/>
        </w:rPr>
        <w:t xml:space="preserve">Agreements relating to flexible working arrangements by specialists and senior specialists to facilitate their private practice </w:t>
      </w:r>
      <w:r w:rsidR="00412B1E" w:rsidRPr="00261F21">
        <w:rPr>
          <w:rFonts w:asciiTheme="minorHAnsi" w:hAnsiTheme="minorHAnsi" w:cs="Arial"/>
          <w:szCs w:val="24"/>
        </w:rPr>
        <w:t xml:space="preserve">or other </w:t>
      </w:r>
      <w:r w:rsidRPr="00261F21">
        <w:rPr>
          <w:rFonts w:asciiTheme="minorHAnsi" w:hAnsiTheme="minorHAnsi" w:cs="Arial"/>
          <w:szCs w:val="24"/>
        </w:rPr>
        <w:t>commitments, which are in place at the time of endorsement of this procedure</w:t>
      </w:r>
      <w:r w:rsidR="007E5FF1" w:rsidRPr="00261F21">
        <w:rPr>
          <w:rFonts w:asciiTheme="minorHAnsi" w:hAnsiTheme="minorHAnsi" w:cs="Arial"/>
          <w:szCs w:val="24"/>
        </w:rPr>
        <w:t>,</w:t>
      </w:r>
      <w:r w:rsidRPr="00261F21">
        <w:rPr>
          <w:rFonts w:asciiTheme="minorHAnsi" w:hAnsiTheme="minorHAnsi" w:cs="Arial"/>
          <w:szCs w:val="24"/>
        </w:rPr>
        <w:t xml:space="preserve"> will be honoured and will continue in force</w:t>
      </w:r>
      <w:r w:rsidR="00A03DDB" w:rsidRPr="00261F21">
        <w:rPr>
          <w:rFonts w:asciiTheme="minorHAnsi" w:hAnsiTheme="minorHAnsi" w:cs="Arial"/>
          <w:szCs w:val="24"/>
        </w:rPr>
        <w:t>,  until the beginning of the next calendar year</w:t>
      </w:r>
      <w:r w:rsidR="0029111D" w:rsidRPr="00261F21">
        <w:rPr>
          <w:rFonts w:asciiTheme="minorHAnsi" w:hAnsiTheme="minorHAnsi" w:cs="Arial"/>
          <w:szCs w:val="24"/>
        </w:rPr>
        <w:t>,</w:t>
      </w:r>
      <w:r w:rsidR="007E5FF1" w:rsidRPr="00261F21">
        <w:rPr>
          <w:rFonts w:asciiTheme="minorHAnsi" w:hAnsiTheme="minorHAnsi" w:cs="Arial"/>
          <w:szCs w:val="24"/>
        </w:rPr>
        <w:t xml:space="preserve"> so long as there is no</w:t>
      </w:r>
      <w:r w:rsidR="00CD6A44" w:rsidRPr="00261F21">
        <w:rPr>
          <w:rFonts w:asciiTheme="minorHAnsi" w:hAnsiTheme="minorHAnsi" w:cs="Arial"/>
          <w:szCs w:val="24"/>
        </w:rPr>
        <w:t xml:space="preserve"> conflict with any provision contained in the MPEA or any part of this procedure</w:t>
      </w:r>
      <w:r w:rsidR="00F13772">
        <w:rPr>
          <w:rFonts w:asciiTheme="minorHAnsi" w:hAnsiTheme="minorHAnsi" w:cs="Arial"/>
          <w:szCs w:val="24"/>
        </w:rPr>
        <w:t>.</w:t>
      </w:r>
    </w:p>
    <w:p w14:paraId="2F51A8AC" w14:textId="34C74EC6" w:rsidR="007B6904" w:rsidRDefault="007B6904" w:rsidP="007B6904">
      <w:pPr>
        <w:rPr>
          <w:rFonts w:cs="Arial"/>
          <w:b/>
          <w:szCs w:val="24"/>
        </w:rPr>
      </w:pPr>
    </w:p>
    <w:p w14:paraId="7B06EF6A" w14:textId="2D44069D" w:rsidR="00FC0DC5" w:rsidRDefault="00316E08" w:rsidP="00FC0DC5">
      <w:pPr>
        <w:jc w:val="right"/>
        <w:rPr>
          <w:rFonts w:cs="Arial"/>
          <w:i/>
          <w:szCs w:val="24"/>
        </w:rPr>
      </w:pPr>
      <w:hyperlink w:anchor="Contents" w:history="1">
        <w:r w:rsidR="007B6904" w:rsidRPr="00590902">
          <w:rPr>
            <w:rStyle w:val="Hyperlink"/>
            <w:rFonts w:cs="Arial"/>
            <w:i/>
            <w:szCs w:val="24"/>
          </w:rPr>
          <w:t>Back to Table of Contents</w:t>
        </w:r>
      </w:hyperlink>
    </w:p>
    <w:p w14:paraId="541BA2C1" w14:textId="77777777" w:rsidR="00FC0DC5" w:rsidRDefault="00FC0DC5" w:rsidP="00FC0DC5">
      <w:pPr>
        <w:pStyle w:val="ProcedureTemplate"/>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FC0DC5" w:rsidRPr="00CD1C0E" w14:paraId="79F6B02C" w14:textId="77777777" w:rsidTr="006A1250">
        <w:trPr>
          <w:cantSplit/>
          <w:trHeight w:val="285"/>
        </w:trPr>
        <w:tc>
          <w:tcPr>
            <w:tcW w:w="9158" w:type="dxa"/>
            <w:shd w:val="clear" w:color="auto" w:fill="A6A6A6" w:themeFill="background1" w:themeFillShade="A6"/>
          </w:tcPr>
          <w:p w14:paraId="433F99A9" w14:textId="67E755C4" w:rsidR="00FC0DC5" w:rsidRPr="003D2D06" w:rsidRDefault="00FC0DC5" w:rsidP="006A1250">
            <w:pPr>
              <w:pStyle w:val="Heading1"/>
            </w:pPr>
            <w:bookmarkStart w:id="19" w:name="_Toc71711792"/>
            <w:r>
              <w:t>Section 4</w:t>
            </w:r>
            <w:r w:rsidRPr="003D2D06">
              <w:t xml:space="preserve"> – </w:t>
            </w:r>
            <w:r>
              <w:t>Recording attendance</w:t>
            </w:r>
            <w:bookmarkEnd w:id="19"/>
          </w:p>
        </w:tc>
      </w:tr>
    </w:tbl>
    <w:p w14:paraId="07D188A4" w14:textId="77777777" w:rsidR="00FC0DC5" w:rsidRDefault="00FC0DC5" w:rsidP="00FC0DC5">
      <w:pPr>
        <w:pStyle w:val="Heading2"/>
      </w:pPr>
    </w:p>
    <w:p w14:paraId="1DF0EAD8" w14:textId="77777777" w:rsidR="00FC0DC5" w:rsidRPr="00840056" w:rsidRDefault="00FC0DC5" w:rsidP="00FC0DC5">
      <w:pPr>
        <w:rPr>
          <w:rFonts w:asciiTheme="minorHAnsi" w:hAnsiTheme="minorHAnsi" w:cs="Arial"/>
          <w:szCs w:val="24"/>
        </w:rPr>
      </w:pPr>
      <w:r w:rsidRPr="00840056">
        <w:rPr>
          <w:rFonts w:asciiTheme="minorHAnsi" w:hAnsiTheme="minorHAnsi" w:cs="Arial"/>
          <w:szCs w:val="24"/>
        </w:rPr>
        <w:t xml:space="preserve">All specialists and senior specialists will be required to keep appropriate records of their attendance for duty. </w:t>
      </w:r>
    </w:p>
    <w:p w14:paraId="3E6E1D63" w14:textId="77777777" w:rsidR="00FC0DC5" w:rsidRPr="00840056" w:rsidRDefault="00FC0DC5" w:rsidP="00FC0DC5">
      <w:pPr>
        <w:rPr>
          <w:rFonts w:asciiTheme="minorHAnsi" w:hAnsiTheme="minorHAnsi" w:cs="Arial"/>
          <w:szCs w:val="24"/>
        </w:rPr>
      </w:pPr>
    </w:p>
    <w:p w14:paraId="216A2C4B" w14:textId="14A9F738" w:rsidR="00FC0DC5" w:rsidRPr="00840056" w:rsidRDefault="00FC0DC5" w:rsidP="00FC0DC5">
      <w:pPr>
        <w:rPr>
          <w:rFonts w:asciiTheme="minorHAnsi" w:hAnsiTheme="minorHAnsi" w:cs="Arial"/>
          <w:szCs w:val="24"/>
        </w:rPr>
      </w:pPr>
      <w:r w:rsidRPr="00840056">
        <w:rPr>
          <w:rFonts w:asciiTheme="minorHAnsi" w:hAnsiTheme="minorHAnsi" w:cs="Arial"/>
          <w:szCs w:val="24"/>
        </w:rPr>
        <w:t xml:space="preserve">This record will be kept in a manner stipulated </w:t>
      </w:r>
      <w:r w:rsidRPr="00261F21">
        <w:rPr>
          <w:rFonts w:asciiTheme="minorHAnsi" w:hAnsiTheme="minorHAnsi" w:cs="Arial"/>
          <w:szCs w:val="24"/>
        </w:rPr>
        <w:t xml:space="preserve">by the </w:t>
      </w:r>
      <w:r w:rsidR="00412B1E" w:rsidRPr="00261F21">
        <w:rPr>
          <w:rFonts w:asciiTheme="minorHAnsi" w:hAnsiTheme="minorHAnsi" w:cs="Arial"/>
          <w:szCs w:val="24"/>
        </w:rPr>
        <w:t xml:space="preserve">Executive Director </w:t>
      </w:r>
      <w:r w:rsidR="00CD6A44" w:rsidRPr="00261F21">
        <w:rPr>
          <w:rFonts w:asciiTheme="minorHAnsi" w:hAnsiTheme="minorHAnsi" w:cs="Arial"/>
          <w:szCs w:val="24"/>
        </w:rPr>
        <w:t xml:space="preserve">of </w:t>
      </w:r>
      <w:r w:rsidR="00412B1E" w:rsidRPr="00261F21">
        <w:rPr>
          <w:rFonts w:asciiTheme="minorHAnsi" w:hAnsiTheme="minorHAnsi" w:cs="Arial"/>
          <w:szCs w:val="24"/>
        </w:rPr>
        <w:t>Me</w:t>
      </w:r>
      <w:r w:rsidR="00023C65" w:rsidRPr="00261F21">
        <w:rPr>
          <w:rFonts w:asciiTheme="minorHAnsi" w:hAnsiTheme="minorHAnsi" w:cs="Arial"/>
          <w:szCs w:val="24"/>
        </w:rPr>
        <w:t>d</w:t>
      </w:r>
      <w:r w:rsidR="00412B1E" w:rsidRPr="00261F21">
        <w:rPr>
          <w:rFonts w:asciiTheme="minorHAnsi" w:hAnsiTheme="minorHAnsi" w:cs="Arial"/>
          <w:szCs w:val="24"/>
        </w:rPr>
        <w:t>ical Services</w:t>
      </w:r>
      <w:r w:rsidRPr="00261F21">
        <w:rPr>
          <w:rFonts w:asciiTheme="minorHAnsi" w:hAnsiTheme="minorHAnsi" w:cs="Arial"/>
          <w:szCs w:val="24"/>
        </w:rPr>
        <w:t xml:space="preserve"> but may include for example diary entries, attendance sheets or electronic records.</w:t>
      </w:r>
      <w:r w:rsidRPr="00840056">
        <w:rPr>
          <w:rFonts w:asciiTheme="minorHAnsi" w:hAnsiTheme="minorHAnsi" w:cs="Arial"/>
          <w:szCs w:val="24"/>
        </w:rPr>
        <w:t xml:space="preserve"> </w:t>
      </w:r>
    </w:p>
    <w:p w14:paraId="0131FE1C" w14:textId="77777777" w:rsidR="00FC0DC5" w:rsidRPr="00840056" w:rsidRDefault="00FC0DC5" w:rsidP="00FC0DC5">
      <w:pPr>
        <w:rPr>
          <w:rFonts w:asciiTheme="minorHAnsi" w:hAnsiTheme="minorHAnsi" w:cs="Arial"/>
          <w:szCs w:val="24"/>
        </w:rPr>
      </w:pPr>
    </w:p>
    <w:p w14:paraId="75EE28DF" w14:textId="2B342C82" w:rsidR="00FC0DC5" w:rsidRPr="00840056" w:rsidRDefault="00FC0DC5" w:rsidP="00FC0DC5">
      <w:pPr>
        <w:rPr>
          <w:rFonts w:asciiTheme="minorHAnsi" w:hAnsiTheme="minorHAnsi" w:cs="Arial"/>
          <w:szCs w:val="24"/>
        </w:rPr>
      </w:pPr>
      <w:r w:rsidRPr="00840056">
        <w:rPr>
          <w:rFonts w:asciiTheme="minorHAnsi" w:hAnsiTheme="minorHAnsi" w:cs="Arial"/>
          <w:szCs w:val="24"/>
        </w:rPr>
        <w:t>These records will be made available when requested</w:t>
      </w:r>
      <w:r w:rsidR="00412B1E">
        <w:rPr>
          <w:rFonts w:asciiTheme="minorHAnsi" w:hAnsiTheme="minorHAnsi" w:cs="Arial"/>
          <w:szCs w:val="24"/>
        </w:rPr>
        <w:t>, including</w:t>
      </w:r>
      <w:r w:rsidRPr="00840056">
        <w:rPr>
          <w:rFonts w:asciiTheme="minorHAnsi" w:hAnsiTheme="minorHAnsi" w:cs="Arial"/>
          <w:szCs w:val="24"/>
        </w:rPr>
        <w:t xml:space="preserve"> for the purposes of auditing. </w:t>
      </w:r>
    </w:p>
    <w:p w14:paraId="4CA2F5C3" w14:textId="77777777" w:rsidR="00FC0DC5" w:rsidRPr="00840056" w:rsidRDefault="00FC0DC5" w:rsidP="00FC0DC5">
      <w:pPr>
        <w:rPr>
          <w:rFonts w:asciiTheme="minorHAnsi" w:hAnsiTheme="minorHAnsi" w:cs="Arial"/>
          <w:szCs w:val="24"/>
        </w:rPr>
      </w:pPr>
    </w:p>
    <w:p w14:paraId="0A19761C" w14:textId="3F853A19" w:rsidR="00023C65" w:rsidRDefault="00FC0DC5" w:rsidP="00023C65">
      <w:pPr>
        <w:rPr>
          <w:rFonts w:asciiTheme="minorHAnsi" w:hAnsiTheme="minorHAnsi" w:cs="Arial"/>
          <w:szCs w:val="24"/>
        </w:rPr>
      </w:pPr>
      <w:r w:rsidRPr="00E75A38">
        <w:rPr>
          <w:rFonts w:asciiTheme="minorHAnsi" w:hAnsiTheme="minorHAnsi" w:cs="Arial"/>
          <w:szCs w:val="24"/>
        </w:rPr>
        <w:lastRenderedPageBreak/>
        <w:t xml:space="preserve">Any absence during normal working </w:t>
      </w:r>
      <w:r w:rsidRPr="00261F21">
        <w:rPr>
          <w:rFonts w:asciiTheme="minorHAnsi" w:hAnsiTheme="minorHAnsi" w:cs="Arial"/>
          <w:szCs w:val="24"/>
        </w:rPr>
        <w:t xml:space="preserve">hours will </w:t>
      </w:r>
      <w:r w:rsidR="00412B1E" w:rsidRPr="00261F21">
        <w:rPr>
          <w:rFonts w:asciiTheme="minorHAnsi" w:hAnsiTheme="minorHAnsi" w:cs="Arial"/>
          <w:szCs w:val="24"/>
        </w:rPr>
        <w:t>require the submission of an appropriate leave form, unless arrangements are made in advance with the Clinical Director to vary hours on a short-term basis</w:t>
      </w:r>
      <w:r w:rsidR="00023C65" w:rsidRPr="00261F21">
        <w:rPr>
          <w:rFonts w:asciiTheme="minorHAnsi" w:hAnsiTheme="minorHAnsi" w:cs="Arial"/>
          <w:szCs w:val="24"/>
        </w:rPr>
        <w:t>, subject to annual review per subclause 23.15 of the MPEA.</w:t>
      </w:r>
    </w:p>
    <w:p w14:paraId="0A503198" w14:textId="42460F14" w:rsidR="00FC0DC5" w:rsidRPr="00931B93" w:rsidRDefault="00FC0DC5" w:rsidP="00FC0DC5">
      <w:pPr>
        <w:rPr>
          <w:rFonts w:cs="Arial"/>
          <w:i/>
          <w:szCs w:val="24"/>
        </w:rPr>
      </w:pPr>
    </w:p>
    <w:p w14:paraId="762DD5BC" w14:textId="59FBBD76" w:rsidR="00FC0DC5" w:rsidRDefault="00316E08" w:rsidP="00FC0DC5">
      <w:pPr>
        <w:jc w:val="right"/>
        <w:rPr>
          <w:rFonts w:cs="Arial"/>
          <w:i/>
          <w:szCs w:val="24"/>
        </w:rPr>
      </w:pPr>
      <w:hyperlink w:anchor="Contents" w:history="1">
        <w:r w:rsidR="00FC0DC5" w:rsidRPr="00590902">
          <w:rPr>
            <w:rStyle w:val="Hyperlink"/>
            <w:rFonts w:cs="Arial"/>
            <w:i/>
            <w:szCs w:val="24"/>
          </w:rPr>
          <w:t>Back to Table of Contents</w:t>
        </w:r>
      </w:hyperlink>
      <w:r w:rsidR="00FC0DC5">
        <w:rPr>
          <w:rFonts w:cs="Arial"/>
          <w:i/>
          <w:szCs w:val="24"/>
        </w:rPr>
        <w:t xml:space="preserve"> </w:t>
      </w:r>
    </w:p>
    <w:p w14:paraId="576D925E" w14:textId="77777777" w:rsidR="00FC0DC5" w:rsidRDefault="00FC0DC5" w:rsidP="00FC0DC5">
      <w:pPr>
        <w:pStyle w:val="ProcedureTemplate"/>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FC0DC5" w:rsidRPr="00CD1C0E" w14:paraId="6EB10944" w14:textId="77777777" w:rsidTr="006A1250">
        <w:trPr>
          <w:cantSplit/>
          <w:trHeight w:val="285"/>
        </w:trPr>
        <w:tc>
          <w:tcPr>
            <w:tcW w:w="9158" w:type="dxa"/>
            <w:shd w:val="clear" w:color="auto" w:fill="A6A6A6" w:themeFill="background1" w:themeFillShade="A6"/>
          </w:tcPr>
          <w:p w14:paraId="219510C5" w14:textId="4B525DFA" w:rsidR="00FC0DC5" w:rsidRPr="003D2D06" w:rsidRDefault="00FC0DC5" w:rsidP="006A1250">
            <w:pPr>
              <w:pStyle w:val="Heading1"/>
            </w:pPr>
            <w:bookmarkStart w:id="20" w:name="_Toc71711793"/>
            <w:r>
              <w:t>Section 5</w:t>
            </w:r>
            <w:r w:rsidRPr="003D2D06">
              <w:t xml:space="preserve"> – </w:t>
            </w:r>
            <w:r>
              <w:t xml:space="preserve">Suspected breaches of </w:t>
            </w:r>
            <w:r w:rsidR="00385763">
              <w:t>flexible working arrangements</w:t>
            </w:r>
            <w:r w:rsidR="007947FF">
              <w:t xml:space="preserve"> relating to private practice</w:t>
            </w:r>
            <w:r w:rsidR="00B8608E">
              <w:t xml:space="preserve"> and other commitments</w:t>
            </w:r>
            <w:bookmarkEnd w:id="20"/>
          </w:p>
        </w:tc>
      </w:tr>
    </w:tbl>
    <w:p w14:paraId="18BD5C48" w14:textId="77777777" w:rsidR="00FC0DC5" w:rsidRDefault="00FC0DC5" w:rsidP="00FC0DC5">
      <w:pPr>
        <w:pStyle w:val="Heading2"/>
      </w:pPr>
    </w:p>
    <w:p w14:paraId="04CFE49D" w14:textId="3D66D8BE" w:rsidR="00FC0DC5" w:rsidRPr="00261F21" w:rsidRDefault="00FC0DC5" w:rsidP="00FC0DC5">
      <w:pPr>
        <w:rPr>
          <w:rFonts w:asciiTheme="minorHAnsi" w:hAnsiTheme="minorHAnsi" w:cs="Arial"/>
          <w:szCs w:val="24"/>
        </w:rPr>
      </w:pPr>
      <w:r w:rsidRPr="00840056">
        <w:rPr>
          <w:rFonts w:asciiTheme="minorHAnsi" w:hAnsiTheme="minorHAnsi" w:cs="Arial"/>
          <w:szCs w:val="24"/>
        </w:rPr>
        <w:t xml:space="preserve">If there is a suspected breach in the arrangements that have been approved </w:t>
      </w:r>
      <w:r w:rsidRPr="00261F21">
        <w:rPr>
          <w:rFonts w:asciiTheme="minorHAnsi" w:hAnsiTheme="minorHAnsi" w:cs="Arial"/>
          <w:szCs w:val="24"/>
        </w:rPr>
        <w:t xml:space="preserve">by the Head of Service (or delegate), then an investigation will be carried out consistent with the MPEA. In circumstances of </w:t>
      </w:r>
      <w:r w:rsidR="00CD6A44" w:rsidRPr="00261F21">
        <w:rPr>
          <w:rFonts w:asciiTheme="minorHAnsi" w:hAnsiTheme="minorHAnsi" w:cs="Arial"/>
          <w:szCs w:val="24"/>
        </w:rPr>
        <w:t xml:space="preserve">a </w:t>
      </w:r>
      <w:r w:rsidRPr="00261F21">
        <w:rPr>
          <w:rFonts w:asciiTheme="minorHAnsi" w:hAnsiTheme="minorHAnsi" w:cs="Arial"/>
          <w:szCs w:val="24"/>
        </w:rPr>
        <w:t xml:space="preserve">suspected breach, </w:t>
      </w:r>
      <w:r w:rsidR="009B4175" w:rsidRPr="00261F21">
        <w:rPr>
          <w:rFonts w:asciiTheme="minorHAnsi" w:hAnsiTheme="minorHAnsi" w:cs="Arial"/>
          <w:szCs w:val="24"/>
        </w:rPr>
        <w:t>the</w:t>
      </w:r>
      <w:r w:rsidR="00CD6A44" w:rsidRPr="00261F21">
        <w:rPr>
          <w:rFonts w:asciiTheme="minorHAnsi" w:hAnsiTheme="minorHAnsi" w:cs="Arial"/>
          <w:szCs w:val="24"/>
        </w:rPr>
        <w:t xml:space="preserve"> </w:t>
      </w:r>
      <w:r w:rsidR="009B4175" w:rsidRPr="00261F21">
        <w:rPr>
          <w:rFonts w:asciiTheme="minorHAnsi" w:hAnsiTheme="minorHAnsi" w:cs="Arial"/>
          <w:szCs w:val="24"/>
        </w:rPr>
        <w:t xml:space="preserve">Clinical Director or Executive Director suspecting the breach </w:t>
      </w:r>
      <w:r w:rsidR="00CD6A44" w:rsidRPr="00261F21">
        <w:rPr>
          <w:rFonts w:asciiTheme="minorHAnsi" w:hAnsiTheme="minorHAnsi" w:cs="Arial"/>
          <w:szCs w:val="24"/>
        </w:rPr>
        <w:t xml:space="preserve">should contact </w:t>
      </w:r>
      <w:r w:rsidR="00CF32B1">
        <w:rPr>
          <w:rFonts w:asciiTheme="minorHAnsi" w:hAnsiTheme="minorHAnsi" w:cs="Arial"/>
          <w:szCs w:val="24"/>
        </w:rPr>
        <w:t>either the Senior Director HR Operations</w:t>
      </w:r>
      <w:r w:rsidRPr="00261F21">
        <w:rPr>
          <w:rFonts w:asciiTheme="minorHAnsi" w:hAnsiTheme="minorHAnsi" w:cs="Arial"/>
          <w:szCs w:val="24"/>
        </w:rPr>
        <w:t xml:space="preserve"> </w:t>
      </w:r>
      <w:r w:rsidR="00CF32B1">
        <w:rPr>
          <w:rFonts w:asciiTheme="minorHAnsi" w:hAnsiTheme="minorHAnsi" w:cs="Arial"/>
          <w:szCs w:val="24"/>
        </w:rPr>
        <w:t xml:space="preserve">or the Senior Director Employment Specialist Services in People </w:t>
      </w:r>
      <w:r w:rsidRPr="00261F21">
        <w:rPr>
          <w:rFonts w:asciiTheme="minorHAnsi" w:hAnsiTheme="minorHAnsi" w:cs="Arial"/>
          <w:szCs w:val="24"/>
        </w:rPr>
        <w:t>and Culture for advice on how to proceed.</w:t>
      </w:r>
    </w:p>
    <w:p w14:paraId="36820AB1" w14:textId="77777777" w:rsidR="00FC0DC5" w:rsidRPr="00261F21" w:rsidRDefault="00FC0DC5" w:rsidP="00FC0DC5">
      <w:pPr>
        <w:rPr>
          <w:rFonts w:asciiTheme="minorHAnsi" w:hAnsiTheme="minorHAnsi" w:cs="Arial"/>
          <w:szCs w:val="24"/>
        </w:rPr>
      </w:pPr>
    </w:p>
    <w:p w14:paraId="115E904F" w14:textId="0FB94672" w:rsidR="00FC0DC5" w:rsidRDefault="00FC0DC5" w:rsidP="00FC0DC5">
      <w:pPr>
        <w:rPr>
          <w:rFonts w:asciiTheme="minorHAnsi" w:hAnsiTheme="minorHAnsi" w:cs="Arial"/>
          <w:i/>
          <w:szCs w:val="24"/>
        </w:rPr>
      </w:pPr>
      <w:r w:rsidRPr="00261F21">
        <w:rPr>
          <w:rFonts w:asciiTheme="minorHAnsi" w:hAnsiTheme="minorHAnsi" w:cs="Arial"/>
          <w:szCs w:val="24"/>
        </w:rPr>
        <w:t xml:space="preserve">Where </w:t>
      </w:r>
      <w:r w:rsidR="00385763" w:rsidRPr="00261F21">
        <w:rPr>
          <w:rFonts w:asciiTheme="minorHAnsi" w:hAnsiTheme="minorHAnsi" w:cs="Arial"/>
          <w:szCs w:val="24"/>
        </w:rPr>
        <w:t xml:space="preserve">an investigation confirms that </w:t>
      </w:r>
      <w:r w:rsidRPr="00261F21">
        <w:rPr>
          <w:rFonts w:asciiTheme="minorHAnsi" w:hAnsiTheme="minorHAnsi" w:cs="Arial"/>
          <w:szCs w:val="24"/>
        </w:rPr>
        <w:t>a breach in the</w:t>
      </w:r>
      <w:r w:rsidR="00385763" w:rsidRPr="00261F21">
        <w:rPr>
          <w:rFonts w:asciiTheme="minorHAnsi" w:hAnsiTheme="minorHAnsi" w:cs="Arial"/>
          <w:szCs w:val="24"/>
        </w:rPr>
        <w:t xml:space="preserve"> flexible working</w:t>
      </w:r>
      <w:r w:rsidRPr="00261F21">
        <w:rPr>
          <w:rFonts w:asciiTheme="minorHAnsi" w:hAnsiTheme="minorHAnsi" w:cs="Arial"/>
          <w:szCs w:val="24"/>
        </w:rPr>
        <w:t xml:space="preserve"> arrangement </w:t>
      </w:r>
      <w:r w:rsidR="00385763" w:rsidRPr="00261F21">
        <w:rPr>
          <w:rFonts w:asciiTheme="minorHAnsi" w:hAnsiTheme="minorHAnsi" w:cs="Arial"/>
          <w:szCs w:val="24"/>
        </w:rPr>
        <w:t>has occurred</w:t>
      </w:r>
      <w:r w:rsidRPr="00261F21">
        <w:rPr>
          <w:rFonts w:asciiTheme="minorHAnsi" w:hAnsiTheme="minorHAnsi" w:cs="Arial"/>
          <w:szCs w:val="24"/>
        </w:rPr>
        <w:t>, the Head of Service may cancel the arrangement and initiate disciplinary action</w:t>
      </w:r>
      <w:r w:rsidRPr="00840056">
        <w:rPr>
          <w:rFonts w:asciiTheme="minorHAnsi" w:hAnsiTheme="minorHAnsi" w:cs="Arial"/>
          <w:szCs w:val="24"/>
        </w:rPr>
        <w:t>.</w:t>
      </w:r>
    </w:p>
    <w:p w14:paraId="0DAECCBD" w14:textId="77777777" w:rsidR="00B8608E" w:rsidRPr="00840056" w:rsidRDefault="00B8608E" w:rsidP="00FC0DC5">
      <w:pPr>
        <w:rPr>
          <w:rFonts w:asciiTheme="minorHAnsi" w:hAnsiTheme="minorHAnsi" w:cs="Arial"/>
          <w:i/>
          <w:szCs w:val="24"/>
        </w:rPr>
      </w:pPr>
    </w:p>
    <w:p w14:paraId="5DFB3C57" w14:textId="36A2AC67" w:rsidR="00FC0DC5" w:rsidRDefault="00316E08" w:rsidP="00F13772">
      <w:pPr>
        <w:jc w:val="right"/>
        <w:rPr>
          <w:rFonts w:cs="Arial"/>
          <w:b/>
          <w:szCs w:val="24"/>
        </w:rPr>
      </w:pPr>
      <w:hyperlink w:anchor="Contents" w:history="1">
        <w:r w:rsidR="00FC0DC5" w:rsidRPr="00840056">
          <w:rPr>
            <w:rStyle w:val="Hyperlink"/>
            <w:rFonts w:asciiTheme="minorHAnsi" w:hAnsiTheme="minorHAnsi" w:cs="Arial"/>
            <w:i/>
            <w:szCs w:val="24"/>
          </w:rPr>
          <w:t>Back to Table of Contents</w:t>
        </w:r>
      </w:hyperlink>
      <w:r w:rsidR="00FC0DC5" w:rsidRPr="00840056">
        <w:rPr>
          <w:rFonts w:asciiTheme="minorHAnsi" w:hAnsiTheme="minorHAnsi" w:cs="Arial"/>
          <w:i/>
          <w:szCs w:val="24"/>
        </w:rPr>
        <w:t xml:space="preserve"> </w:t>
      </w:r>
    </w:p>
    <w:p w14:paraId="2F51A8AE" w14:textId="77777777" w:rsidR="007B6904" w:rsidRDefault="007B6904" w:rsidP="007B6904">
      <w:pPr>
        <w:pStyle w:val="ProcedureTemplateinternalheadings"/>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F9158A" w:rsidRPr="00CD1C0E" w14:paraId="381DE97E" w14:textId="77777777" w:rsidTr="00E73459">
        <w:trPr>
          <w:cantSplit/>
          <w:trHeight w:val="285"/>
        </w:trPr>
        <w:tc>
          <w:tcPr>
            <w:tcW w:w="9158" w:type="dxa"/>
            <w:shd w:val="clear" w:color="auto" w:fill="A6A6A6" w:themeFill="background1" w:themeFillShade="A6"/>
          </w:tcPr>
          <w:p w14:paraId="3B90ABDC" w14:textId="067D01FB" w:rsidR="00F9158A" w:rsidRPr="00CD1C0E" w:rsidRDefault="00F9158A" w:rsidP="00E73459">
            <w:pPr>
              <w:pStyle w:val="Heading1"/>
              <w:tabs>
                <w:tab w:val="left" w:pos="1953"/>
              </w:tabs>
            </w:pPr>
            <w:bookmarkStart w:id="21" w:name="_Toc71711794"/>
            <w:r>
              <w:t>Evaluation</w:t>
            </w:r>
            <w:bookmarkEnd w:id="21"/>
            <w:r>
              <w:t xml:space="preserve"> </w:t>
            </w:r>
            <w:r w:rsidR="00E73459">
              <w:tab/>
            </w:r>
          </w:p>
        </w:tc>
      </w:tr>
    </w:tbl>
    <w:p w14:paraId="6E93670E" w14:textId="77777777" w:rsidR="00F9158A" w:rsidRDefault="00F9158A" w:rsidP="00F9158A">
      <w:pPr>
        <w:pStyle w:val="Default"/>
        <w:rPr>
          <w:rFonts w:ascii="Calibri" w:hAnsi="Calibri"/>
        </w:rPr>
      </w:pPr>
    </w:p>
    <w:p w14:paraId="36716F9A" w14:textId="77777777" w:rsidR="00E20B1B" w:rsidRPr="00840056" w:rsidRDefault="00E20B1B" w:rsidP="00E20B1B">
      <w:pPr>
        <w:rPr>
          <w:rFonts w:asciiTheme="minorHAnsi" w:hAnsiTheme="minorHAnsi" w:cs="Arial"/>
          <w:b/>
          <w:szCs w:val="24"/>
        </w:rPr>
      </w:pPr>
      <w:r w:rsidRPr="00840056">
        <w:rPr>
          <w:rFonts w:asciiTheme="minorHAnsi" w:hAnsiTheme="minorHAnsi" w:cs="Arial"/>
          <w:b/>
          <w:szCs w:val="24"/>
        </w:rPr>
        <w:t>Outcome Measures</w:t>
      </w:r>
    </w:p>
    <w:p w14:paraId="38D344AF" w14:textId="76854220" w:rsidR="00E20B1B" w:rsidRPr="00261F21" w:rsidRDefault="009B72B1" w:rsidP="009B72B1">
      <w:pPr>
        <w:pStyle w:val="ListBullet"/>
      </w:pPr>
      <w:r>
        <w:t xml:space="preserve">All applications, made by Specialists and Senior Specialist, will be </w:t>
      </w:r>
      <w:proofErr w:type="spellStart"/>
      <w:r>
        <w:t>completed</w:t>
      </w:r>
      <w:r w:rsidR="006A1250" w:rsidRPr="00261F21">
        <w:t>using</w:t>
      </w:r>
      <w:proofErr w:type="spellEnd"/>
      <w:r w:rsidR="006A1250" w:rsidRPr="00261F21">
        <w:t xml:space="preserve"> the Application for Flexible Working Arrangements – Specialists and Senior Specialists (May 2021) form</w:t>
      </w:r>
      <w:r w:rsidR="00E20B1B" w:rsidRPr="00261F21">
        <w:t>.</w:t>
      </w:r>
    </w:p>
    <w:p w14:paraId="1BFEC0F9" w14:textId="37BC7776" w:rsidR="00E20B1B" w:rsidRPr="00261F21" w:rsidRDefault="009B72B1" w:rsidP="00A16E0F">
      <w:pPr>
        <w:pStyle w:val="ListBullet"/>
      </w:pPr>
      <w:r>
        <w:t>Divisions</w:t>
      </w:r>
      <w:r w:rsidR="00A16E0F" w:rsidRPr="00261F21">
        <w:t xml:space="preserve"> will maintain a list of </w:t>
      </w:r>
      <w:r w:rsidR="00E9759B" w:rsidRPr="00261F21">
        <w:t xml:space="preserve">Specialists </w:t>
      </w:r>
      <w:r w:rsidR="00A16E0F" w:rsidRPr="00261F21">
        <w:t xml:space="preserve">and </w:t>
      </w:r>
      <w:r w:rsidR="00E9759B" w:rsidRPr="00261F21">
        <w:t xml:space="preserve">Senior Specialists </w:t>
      </w:r>
      <w:r w:rsidR="00A16E0F" w:rsidRPr="00261F21">
        <w:t>from their work area</w:t>
      </w:r>
      <w:r>
        <w:t>s</w:t>
      </w:r>
      <w:r w:rsidR="00A16E0F" w:rsidRPr="00261F21">
        <w:t xml:space="preserve"> who </w:t>
      </w:r>
      <w:r>
        <w:t>have approved</w:t>
      </w:r>
      <w:r w:rsidRPr="00261F21">
        <w:t xml:space="preserve"> </w:t>
      </w:r>
      <w:r w:rsidR="00A16E0F" w:rsidRPr="00261F21">
        <w:t xml:space="preserve">flexible </w:t>
      </w:r>
      <w:r w:rsidRPr="00261F21">
        <w:t xml:space="preserve">working </w:t>
      </w:r>
      <w:r w:rsidR="00A16E0F" w:rsidRPr="00261F21">
        <w:t>arrangements</w:t>
      </w:r>
      <w:r w:rsidR="00E9759B">
        <w:t xml:space="preserve"> for reporting purposes</w:t>
      </w:r>
      <w:r w:rsidR="00F573D4">
        <w:t>.</w:t>
      </w:r>
    </w:p>
    <w:p w14:paraId="3DEFFC2E" w14:textId="77777777" w:rsidR="00A16E0F" w:rsidRDefault="00A16E0F" w:rsidP="00E20B1B">
      <w:pPr>
        <w:rPr>
          <w:rFonts w:asciiTheme="minorHAnsi" w:hAnsiTheme="minorHAnsi" w:cs="Arial"/>
          <w:b/>
          <w:szCs w:val="24"/>
        </w:rPr>
      </w:pPr>
    </w:p>
    <w:p w14:paraId="173DCA4E" w14:textId="315C532F" w:rsidR="00E20B1B" w:rsidRPr="00261F21" w:rsidRDefault="00E20B1B" w:rsidP="00E20B1B">
      <w:pPr>
        <w:rPr>
          <w:rFonts w:asciiTheme="minorHAnsi" w:hAnsiTheme="minorHAnsi" w:cs="Arial"/>
          <w:b/>
          <w:szCs w:val="24"/>
        </w:rPr>
      </w:pPr>
      <w:r w:rsidRPr="00261F21">
        <w:rPr>
          <w:rFonts w:asciiTheme="minorHAnsi" w:hAnsiTheme="minorHAnsi" w:cs="Arial"/>
          <w:b/>
          <w:szCs w:val="24"/>
        </w:rPr>
        <w:t>Method</w:t>
      </w:r>
    </w:p>
    <w:p w14:paraId="26ACFF3C" w14:textId="306F466B" w:rsidR="00E20B1B" w:rsidRPr="00261F21" w:rsidRDefault="00E20B1B" w:rsidP="003C08EF">
      <w:pPr>
        <w:pStyle w:val="ListBullet"/>
      </w:pPr>
      <w:r w:rsidRPr="00261F21">
        <w:t xml:space="preserve">Executive Director/Executive Group Manager </w:t>
      </w:r>
      <w:r w:rsidR="003C08EF">
        <w:t>will provide</w:t>
      </w:r>
      <w:r w:rsidR="003C08EF" w:rsidRPr="00261F21">
        <w:t xml:space="preserve"> </w:t>
      </w:r>
      <w:r w:rsidRPr="00261F21">
        <w:t>reports</w:t>
      </w:r>
      <w:r w:rsidR="003C08EF">
        <w:t xml:space="preserve"> of all staff on flexible working arrangements</w:t>
      </w:r>
      <w:r w:rsidR="001F4113">
        <w:t xml:space="preserve"> </w:t>
      </w:r>
      <w:r w:rsidR="00277FB5">
        <w:t>to</w:t>
      </w:r>
      <w:r w:rsidRPr="00261F21">
        <w:t xml:space="preserve"> the</w:t>
      </w:r>
      <w:r w:rsidR="001F4113">
        <w:t xml:space="preserve"> </w:t>
      </w:r>
      <w:r w:rsidRPr="00261F21">
        <w:t>Chief Executive Officer</w:t>
      </w:r>
      <w:r w:rsidR="00277FB5">
        <w:t xml:space="preserve"> in July of each calendar year</w:t>
      </w:r>
      <w:r w:rsidRPr="00261F21">
        <w:t>.</w:t>
      </w:r>
    </w:p>
    <w:p w14:paraId="55C86881" w14:textId="77777777" w:rsidR="00E20B1B" w:rsidRPr="00840056" w:rsidRDefault="00E20B1B" w:rsidP="00E20B1B">
      <w:pPr>
        <w:rPr>
          <w:rFonts w:asciiTheme="minorHAnsi" w:hAnsiTheme="minorHAnsi" w:cs="Arial"/>
          <w:i/>
          <w:szCs w:val="24"/>
        </w:rPr>
      </w:pPr>
    </w:p>
    <w:p w14:paraId="7BF9215D" w14:textId="3A650D89" w:rsidR="00261F21" w:rsidRPr="00253F5A" w:rsidRDefault="00316E08" w:rsidP="00F13772">
      <w:pPr>
        <w:pStyle w:val="ListParagraph"/>
        <w:jc w:val="right"/>
      </w:pPr>
      <w:hyperlink w:anchor="Contents" w:history="1">
        <w:r w:rsidR="00E20B1B" w:rsidRPr="00840056">
          <w:rPr>
            <w:rStyle w:val="Hyperlink"/>
            <w:rFonts w:asciiTheme="minorHAnsi" w:hAnsiTheme="minorHAnsi" w:cs="Arial"/>
            <w:i/>
            <w:szCs w:val="24"/>
          </w:rPr>
          <w:t>Back to Table of Contents</w:t>
        </w:r>
      </w:hyperlink>
      <w:r w:rsidR="00E20B1B" w:rsidRPr="00840056">
        <w:rPr>
          <w:rStyle w:val="Hyperlink"/>
          <w:rFonts w:asciiTheme="minorHAnsi" w:hAnsiTheme="minorHAnsi" w:cs="Arial"/>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B6" w14:textId="77777777" w:rsidTr="0074223E">
        <w:trPr>
          <w:cantSplit/>
          <w:trHeight w:val="285"/>
        </w:trPr>
        <w:tc>
          <w:tcPr>
            <w:tcW w:w="9158" w:type="dxa"/>
            <w:shd w:val="clear" w:color="auto" w:fill="A6A6A6" w:themeFill="background1" w:themeFillShade="A6"/>
          </w:tcPr>
          <w:p w14:paraId="2F51A8B5" w14:textId="77777777" w:rsidR="007B6904" w:rsidRPr="00CD1C0E" w:rsidRDefault="00FF56DD" w:rsidP="00FF56DD">
            <w:pPr>
              <w:pStyle w:val="Heading1"/>
            </w:pPr>
            <w:bookmarkStart w:id="22" w:name="_Toc389473287"/>
            <w:bookmarkStart w:id="23" w:name="_Toc71711795"/>
            <w:r>
              <w:t xml:space="preserve">Related Policies, </w:t>
            </w:r>
            <w:r w:rsidR="007B6904">
              <w:t>Procedures</w:t>
            </w:r>
            <w:bookmarkEnd w:id="22"/>
            <w:r>
              <w:t>, Guidelines and Legislation</w:t>
            </w:r>
            <w:bookmarkEnd w:id="23"/>
          </w:p>
        </w:tc>
      </w:tr>
    </w:tbl>
    <w:p w14:paraId="2F51A8B7" w14:textId="77777777" w:rsidR="007B6904" w:rsidRDefault="007B6904" w:rsidP="007B6904">
      <w:pPr>
        <w:rPr>
          <w:szCs w:val="24"/>
        </w:rPr>
      </w:pPr>
    </w:p>
    <w:p w14:paraId="3FCFD4DF" w14:textId="77777777" w:rsidR="00E20B1B" w:rsidRPr="00261F21" w:rsidRDefault="00E20B1B" w:rsidP="00E20B1B">
      <w:pPr>
        <w:rPr>
          <w:rFonts w:asciiTheme="minorHAnsi" w:hAnsiTheme="minorHAnsi" w:cs="Arial"/>
          <w:b/>
          <w:szCs w:val="24"/>
        </w:rPr>
      </w:pPr>
      <w:r w:rsidRPr="00261F21">
        <w:rPr>
          <w:rFonts w:asciiTheme="minorHAnsi" w:hAnsiTheme="minorHAnsi" w:cs="Arial"/>
          <w:b/>
          <w:szCs w:val="24"/>
        </w:rPr>
        <w:t>Policies</w:t>
      </w:r>
    </w:p>
    <w:p w14:paraId="102FEB94" w14:textId="75449727" w:rsidR="00E20B1B" w:rsidRPr="00261F21" w:rsidRDefault="00E20B1B" w:rsidP="00E20B1B">
      <w:pPr>
        <w:numPr>
          <w:ilvl w:val="0"/>
          <w:numId w:val="11"/>
        </w:numPr>
        <w:contextualSpacing/>
        <w:rPr>
          <w:rFonts w:asciiTheme="minorHAnsi" w:hAnsiTheme="minorHAnsi" w:cs="Arial"/>
          <w:szCs w:val="24"/>
        </w:rPr>
      </w:pPr>
      <w:r w:rsidRPr="00261F21">
        <w:rPr>
          <w:rFonts w:asciiTheme="minorHAnsi" w:hAnsiTheme="minorHAnsi" w:cs="Arial"/>
          <w:szCs w:val="24"/>
        </w:rPr>
        <w:t>Recruitment</w:t>
      </w:r>
    </w:p>
    <w:p w14:paraId="196D4890" w14:textId="77777777" w:rsidR="00E20B1B" w:rsidRPr="00261F21" w:rsidRDefault="00E20B1B" w:rsidP="00E20B1B">
      <w:pPr>
        <w:rPr>
          <w:rFonts w:asciiTheme="minorHAnsi" w:hAnsiTheme="minorHAnsi" w:cs="Arial"/>
          <w:szCs w:val="24"/>
        </w:rPr>
      </w:pPr>
    </w:p>
    <w:p w14:paraId="10856DD8" w14:textId="77777777" w:rsidR="00E20B1B" w:rsidRPr="00261F21" w:rsidRDefault="00E20B1B" w:rsidP="00E20B1B">
      <w:pPr>
        <w:rPr>
          <w:rFonts w:asciiTheme="minorHAnsi" w:hAnsiTheme="minorHAnsi" w:cs="Arial"/>
          <w:b/>
          <w:szCs w:val="24"/>
        </w:rPr>
      </w:pPr>
      <w:r w:rsidRPr="00261F21">
        <w:rPr>
          <w:rFonts w:asciiTheme="minorHAnsi" w:hAnsiTheme="minorHAnsi" w:cs="Arial"/>
          <w:b/>
          <w:szCs w:val="24"/>
        </w:rPr>
        <w:t>Procedures</w:t>
      </w:r>
    </w:p>
    <w:p w14:paraId="69D3AD6A" w14:textId="6367A6DB" w:rsidR="00E20B1B" w:rsidRPr="00261F21" w:rsidRDefault="00E20B1B" w:rsidP="00E20B1B">
      <w:pPr>
        <w:numPr>
          <w:ilvl w:val="0"/>
          <w:numId w:val="11"/>
        </w:numPr>
        <w:contextualSpacing/>
        <w:rPr>
          <w:rFonts w:asciiTheme="minorHAnsi" w:hAnsiTheme="minorHAnsi" w:cs="Arial"/>
          <w:szCs w:val="24"/>
        </w:rPr>
      </w:pPr>
      <w:r w:rsidRPr="00261F21">
        <w:rPr>
          <w:rFonts w:asciiTheme="minorHAnsi" w:hAnsiTheme="minorHAnsi" w:cs="Arial"/>
          <w:szCs w:val="24"/>
        </w:rPr>
        <w:t>Second Job</w:t>
      </w:r>
      <w:r w:rsidR="00BD5064" w:rsidRPr="00261F21">
        <w:rPr>
          <w:rFonts w:asciiTheme="minorHAnsi" w:hAnsiTheme="minorHAnsi" w:cs="Arial"/>
          <w:szCs w:val="24"/>
        </w:rPr>
        <w:t xml:space="preserve"> </w:t>
      </w:r>
    </w:p>
    <w:p w14:paraId="78B0B351" w14:textId="1A790AC9" w:rsidR="00E20B1B" w:rsidRPr="00840056" w:rsidRDefault="00E20B1B" w:rsidP="00E20B1B">
      <w:pPr>
        <w:numPr>
          <w:ilvl w:val="0"/>
          <w:numId w:val="11"/>
        </w:numPr>
        <w:contextualSpacing/>
        <w:rPr>
          <w:rFonts w:asciiTheme="minorHAnsi" w:hAnsiTheme="minorHAnsi" w:cs="Arial"/>
          <w:szCs w:val="24"/>
        </w:rPr>
      </w:pPr>
      <w:r w:rsidRPr="00840056">
        <w:rPr>
          <w:rFonts w:asciiTheme="minorHAnsi" w:hAnsiTheme="minorHAnsi" w:cs="Arial"/>
          <w:szCs w:val="24"/>
        </w:rPr>
        <w:t>Recruitment</w:t>
      </w:r>
      <w:r w:rsidR="00BD5064">
        <w:rPr>
          <w:rFonts w:asciiTheme="minorHAnsi" w:hAnsiTheme="minorHAnsi" w:cs="Arial"/>
          <w:szCs w:val="24"/>
        </w:rPr>
        <w:t xml:space="preserve"> </w:t>
      </w:r>
    </w:p>
    <w:p w14:paraId="2DDC1546" w14:textId="6857F9C6" w:rsidR="00E20B1B" w:rsidRPr="00840056" w:rsidRDefault="00E20B1B" w:rsidP="00E20B1B">
      <w:pPr>
        <w:numPr>
          <w:ilvl w:val="0"/>
          <w:numId w:val="11"/>
        </w:numPr>
        <w:contextualSpacing/>
        <w:rPr>
          <w:rFonts w:asciiTheme="minorHAnsi" w:hAnsiTheme="minorHAnsi" w:cs="Arial"/>
          <w:szCs w:val="24"/>
        </w:rPr>
      </w:pPr>
      <w:r w:rsidRPr="00840056">
        <w:rPr>
          <w:rFonts w:asciiTheme="minorHAnsi" w:hAnsiTheme="minorHAnsi" w:cs="Arial"/>
          <w:szCs w:val="24"/>
        </w:rPr>
        <w:lastRenderedPageBreak/>
        <w:t xml:space="preserve">Credentialing and Defining the Scope of </w:t>
      </w:r>
      <w:r w:rsidR="009B4175">
        <w:rPr>
          <w:rFonts w:asciiTheme="minorHAnsi" w:hAnsiTheme="minorHAnsi" w:cs="Arial"/>
          <w:szCs w:val="24"/>
        </w:rPr>
        <w:t xml:space="preserve">Clinical </w:t>
      </w:r>
      <w:r w:rsidRPr="00840056">
        <w:rPr>
          <w:rFonts w:asciiTheme="minorHAnsi" w:hAnsiTheme="minorHAnsi" w:cs="Arial"/>
          <w:szCs w:val="24"/>
        </w:rPr>
        <w:t>Practice for Senior Medical and Dental Practitioners</w:t>
      </w:r>
      <w:r w:rsidR="00BD5064">
        <w:rPr>
          <w:rFonts w:asciiTheme="minorHAnsi" w:hAnsiTheme="minorHAnsi" w:cs="Arial"/>
          <w:szCs w:val="24"/>
        </w:rPr>
        <w:t xml:space="preserve"> </w:t>
      </w:r>
    </w:p>
    <w:p w14:paraId="4805DDED" w14:textId="3D56F744" w:rsidR="006F55F3" w:rsidRPr="00CF32B1" w:rsidRDefault="00E20B1B" w:rsidP="002B1FB9">
      <w:pPr>
        <w:numPr>
          <w:ilvl w:val="0"/>
          <w:numId w:val="11"/>
        </w:numPr>
        <w:contextualSpacing/>
        <w:rPr>
          <w:rFonts w:asciiTheme="minorHAnsi" w:hAnsiTheme="minorHAnsi" w:cs="Arial"/>
          <w:b/>
          <w:szCs w:val="24"/>
        </w:rPr>
      </w:pPr>
      <w:r w:rsidRPr="00CF32B1">
        <w:rPr>
          <w:rFonts w:asciiTheme="minorHAnsi" w:hAnsiTheme="minorHAnsi" w:cs="Arial"/>
          <w:szCs w:val="24"/>
        </w:rPr>
        <w:t>Conflict of Interest</w:t>
      </w:r>
      <w:r w:rsidR="00BD5064" w:rsidRPr="00CF32B1">
        <w:rPr>
          <w:rFonts w:asciiTheme="minorHAnsi" w:hAnsiTheme="minorHAnsi" w:cs="Arial"/>
          <w:szCs w:val="24"/>
        </w:rPr>
        <w:t xml:space="preserve"> </w:t>
      </w:r>
    </w:p>
    <w:p w14:paraId="4C58C10C" w14:textId="77777777" w:rsidR="00CF32B1" w:rsidRPr="00CF32B1" w:rsidRDefault="00CF32B1" w:rsidP="00CF32B1">
      <w:pPr>
        <w:ind w:left="360"/>
        <w:contextualSpacing/>
        <w:rPr>
          <w:rFonts w:asciiTheme="minorHAnsi" w:hAnsiTheme="minorHAnsi" w:cs="Arial"/>
          <w:b/>
          <w:szCs w:val="24"/>
        </w:rPr>
      </w:pPr>
    </w:p>
    <w:p w14:paraId="1C1262E4" w14:textId="1E413E75" w:rsidR="00E20B1B" w:rsidRPr="003D7877" w:rsidRDefault="00E20B1B" w:rsidP="00E20B1B">
      <w:pPr>
        <w:rPr>
          <w:rFonts w:asciiTheme="minorHAnsi" w:hAnsiTheme="minorHAnsi" w:cs="Arial"/>
          <w:b/>
          <w:szCs w:val="24"/>
        </w:rPr>
      </w:pPr>
      <w:r>
        <w:rPr>
          <w:rFonts w:asciiTheme="minorHAnsi" w:hAnsiTheme="minorHAnsi" w:cs="Arial"/>
          <w:b/>
          <w:szCs w:val="24"/>
        </w:rPr>
        <w:t>Guidelines</w:t>
      </w:r>
    </w:p>
    <w:p w14:paraId="08687F20" w14:textId="77777777" w:rsidR="00E20B1B" w:rsidRPr="003D7877" w:rsidRDefault="00E20B1B" w:rsidP="00E20B1B">
      <w:pPr>
        <w:numPr>
          <w:ilvl w:val="0"/>
          <w:numId w:val="11"/>
        </w:numPr>
        <w:contextualSpacing/>
        <w:rPr>
          <w:rFonts w:asciiTheme="minorHAnsi" w:hAnsiTheme="minorHAnsi" w:cs="Arial"/>
          <w:iCs/>
          <w:szCs w:val="24"/>
        </w:rPr>
      </w:pPr>
      <w:r w:rsidRPr="003D7877">
        <w:rPr>
          <w:rFonts w:asciiTheme="minorHAnsi" w:hAnsiTheme="minorHAnsi" w:cs="Arial"/>
          <w:iCs/>
          <w:szCs w:val="24"/>
        </w:rPr>
        <w:t>ACT Public Service Code of Conduct 2012</w:t>
      </w:r>
    </w:p>
    <w:p w14:paraId="7E0EBB27" w14:textId="77777777" w:rsidR="009D5C1E" w:rsidRDefault="009D5C1E" w:rsidP="009D5C1E">
      <w:pPr>
        <w:rPr>
          <w:rFonts w:asciiTheme="minorHAnsi" w:hAnsiTheme="minorHAnsi" w:cs="Arial"/>
          <w:b/>
          <w:szCs w:val="24"/>
        </w:rPr>
      </w:pPr>
    </w:p>
    <w:p w14:paraId="4E46967D" w14:textId="44B8BBF0" w:rsidR="009D5C1E" w:rsidRPr="00840056" w:rsidRDefault="009D5C1E" w:rsidP="009D5C1E">
      <w:pPr>
        <w:rPr>
          <w:rFonts w:asciiTheme="minorHAnsi" w:hAnsiTheme="minorHAnsi" w:cs="Arial"/>
          <w:b/>
          <w:szCs w:val="24"/>
        </w:rPr>
      </w:pPr>
      <w:r w:rsidRPr="00840056">
        <w:rPr>
          <w:rFonts w:asciiTheme="minorHAnsi" w:hAnsiTheme="minorHAnsi" w:cs="Arial"/>
          <w:b/>
          <w:szCs w:val="24"/>
        </w:rPr>
        <w:t>Legislation</w:t>
      </w:r>
    </w:p>
    <w:p w14:paraId="05080C5C" w14:textId="77777777" w:rsidR="009D5C1E" w:rsidRPr="00840056" w:rsidRDefault="009D5C1E" w:rsidP="009D5C1E">
      <w:pPr>
        <w:numPr>
          <w:ilvl w:val="0"/>
          <w:numId w:val="11"/>
        </w:numPr>
        <w:contextualSpacing/>
        <w:rPr>
          <w:rFonts w:asciiTheme="minorHAnsi" w:hAnsiTheme="minorHAnsi" w:cs="Arial"/>
          <w:i/>
          <w:szCs w:val="24"/>
        </w:rPr>
      </w:pPr>
      <w:r w:rsidRPr="00840056">
        <w:rPr>
          <w:rFonts w:asciiTheme="minorHAnsi" w:hAnsiTheme="minorHAnsi" w:cs="Arial"/>
          <w:i/>
          <w:szCs w:val="24"/>
        </w:rPr>
        <w:t xml:space="preserve">Public Sector Management Act </w:t>
      </w:r>
      <w:r w:rsidRPr="003D7877">
        <w:rPr>
          <w:rFonts w:asciiTheme="minorHAnsi" w:hAnsiTheme="minorHAnsi" w:cs="Arial"/>
          <w:iCs/>
          <w:szCs w:val="24"/>
        </w:rPr>
        <w:t>2004</w:t>
      </w:r>
      <w:r>
        <w:rPr>
          <w:rFonts w:asciiTheme="minorHAnsi" w:hAnsiTheme="minorHAnsi" w:cs="Arial"/>
          <w:iCs/>
          <w:szCs w:val="24"/>
        </w:rPr>
        <w:t xml:space="preserve"> (ACT)</w:t>
      </w:r>
    </w:p>
    <w:p w14:paraId="20CEDBD2" w14:textId="77777777" w:rsidR="009D5C1E" w:rsidRPr="00840056" w:rsidRDefault="009D5C1E" w:rsidP="009D5C1E">
      <w:pPr>
        <w:numPr>
          <w:ilvl w:val="0"/>
          <w:numId w:val="11"/>
        </w:numPr>
        <w:contextualSpacing/>
        <w:rPr>
          <w:rFonts w:asciiTheme="minorHAnsi" w:hAnsiTheme="minorHAnsi" w:cs="Arial"/>
          <w:i/>
          <w:szCs w:val="24"/>
        </w:rPr>
      </w:pPr>
      <w:r w:rsidRPr="00840056">
        <w:rPr>
          <w:rFonts w:asciiTheme="minorHAnsi" w:hAnsiTheme="minorHAnsi" w:cs="Arial"/>
          <w:i/>
          <w:szCs w:val="24"/>
        </w:rPr>
        <w:t xml:space="preserve">Public Sector Management Standards </w:t>
      </w:r>
      <w:r w:rsidRPr="003D7877">
        <w:rPr>
          <w:rFonts w:asciiTheme="minorHAnsi" w:hAnsiTheme="minorHAnsi" w:cs="Arial"/>
          <w:iCs/>
          <w:szCs w:val="24"/>
        </w:rPr>
        <w:t>2006</w:t>
      </w:r>
      <w:r>
        <w:rPr>
          <w:rFonts w:asciiTheme="minorHAnsi" w:hAnsiTheme="minorHAnsi" w:cs="Arial"/>
          <w:iCs/>
          <w:szCs w:val="24"/>
        </w:rPr>
        <w:t xml:space="preserve"> (ACT)</w:t>
      </w:r>
    </w:p>
    <w:p w14:paraId="3AD3DC2F" w14:textId="77777777" w:rsidR="009D5C1E" w:rsidRPr="00840056" w:rsidRDefault="009D5C1E" w:rsidP="009D5C1E">
      <w:pPr>
        <w:numPr>
          <w:ilvl w:val="0"/>
          <w:numId w:val="11"/>
        </w:numPr>
        <w:contextualSpacing/>
        <w:rPr>
          <w:rFonts w:asciiTheme="minorHAnsi" w:hAnsiTheme="minorHAnsi" w:cs="Arial"/>
          <w:i/>
          <w:szCs w:val="24"/>
        </w:rPr>
      </w:pPr>
      <w:r w:rsidRPr="00840056">
        <w:rPr>
          <w:rFonts w:asciiTheme="minorHAnsi" w:hAnsiTheme="minorHAnsi" w:cs="Arial"/>
          <w:i/>
          <w:szCs w:val="24"/>
        </w:rPr>
        <w:t xml:space="preserve">Financial Management Act </w:t>
      </w:r>
      <w:r w:rsidRPr="003D7877">
        <w:rPr>
          <w:rFonts w:asciiTheme="minorHAnsi" w:hAnsiTheme="minorHAnsi" w:cs="Arial"/>
          <w:iCs/>
          <w:szCs w:val="24"/>
        </w:rPr>
        <w:t>1996</w:t>
      </w:r>
      <w:r w:rsidRPr="00840056">
        <w:rPr>
          <w:rFonts w:asciiTheme="minorHAnsi" w:hAnsiTheme="minorHAnsi" w:cs="Arial"/>
          <w:i/>
          <w:szCs w:val="24"/>
        </w:rPr>
        <w:t xml:space="preserve"> </w:t>
      </w:r>
      <w:r>
        <w:rPr>
          <w:rFonts w:asciiTheme="minorHAnsi" w:hAnsiTheme="minorHAnsi" w:cs="Arial"/>
          <w:iCs/>
          <w:szCs w:val="24"/>
        </w:rPr>
        <w:t>(ACT)</w:t>
      </w:r>
    </w:p>
    <w:p w14:paraId="6CB2C931" w14:textId="77777777" w:rsidR="009D5C1E" w:rsidRDefault="009D5C1E" w:rsidP="009D5C1E">
      <w:pPr>
        <w:numPr>
          <w:ilvl w:val="0"/>
          <w:numId w:val="11"/>
        </w:numPr>
        <w:contextualSpacing/>
        <w:rPr>
          <w:rFonts w:asciiTheme="minorHAnsi" w:hAnsiTheme="minorHAnsi" w:cs="Arial"/>
          <w:i/>
          <w:szCs w:val="24"/>
        </w:rPr>
      </w:pPr>
      <w:r w:rsidRPr="00840056">
        <w:rPr>
          <w:rFonts w:asciiTheme="minorHAnsi" w:hAnsiTheme="minorHAnsi" w:cs="Arial"/>
          <w:i/>
          <w:szCs w:val="24"/>
        </w:rPr>
        <w:t xml:space="preserve">Privacy Act </w:t>
      </w:r>
      <w:r w:rsidRPr="007947FF">
        <w:rPr>
          <w:rFonts w:asciiTheme="minorHAnsi" w:hAnsiTheme="minorHAnsi" w:cs="Arial"/>
          <w:iCs/>
          <w:szCs w:val="24"/>
        </w:rPr>
        <w:t>1988</w:t>
      </w:r>
      <w:r>
        <w:rPr>
          <w:rFonts w:asciiTheme="minorHAnsi" w:hAnsiTheme="minorHAnsi" w:cs="Arial"/>
          <w:iCs/>
          <w:szCs w:val="24"/>
        </w:rPr>
        <w:t xml:space="preserve"> (</w:t>
      </w:r>
      <w:proofErr w:type="spellStart"/>
      <w:r>
        <w:rPr>
          <w:rFonts w:asciiTheme="minorHAnsi" w:hAnsiTheme="minorHAnsi" w:cs="Arial"/>
          <w:iCs/>
          <w:szCs w:val="24"/>
        </w:rPr>
        <w:t>Cth</w:t>
      </w:r>
      <w:proofErr w:type="spellEnd"/>
      <w:r>
        <w:rPr>
          <w:rFonts w:asciiTheme="minorHAnsi" w:hAnsiTheme="minorHAnsi" w:cs="Arial"/>
          <w:iCs/>
          <w:szCs w:val="24"/>
        </w:rPr>
        <w:t>)</w:t>
      </w:r>
    </w:p>
    <w:p w14:paraId="706D732A" w14:textId="34A9CDCC" w:rsidR="006F55F3" w:rsidRDefault="006F55F3" w:rsidP="009D5C1E">
      <w:pPr>
        <w:pStyle w:val="ListParagraph"/>
        <w:ind w:left="0"/>
      </w:pPr>
    </w:p>
    <w:p w14:paraId="136D4800" w14:textId="77777777" w:rsidR="009D5C1E" w:rsidRPr="00261F21" w:rsidRDefault="009D5C1E" w:rsidP="009D5C1E">
      <w:pPr>
        <w:contextualSpacing/>
        <w:rPr>
          <w:rFonts w:asciiTheme="minorHAnsi" w:hAnsiTheme="minorHAnsi" w:cs="Arial"/>
          <w:iCs/>
          <w:szCs w:val="24"/>
        </w:rPr>
      </w:pPr>
      <w:r w:rsidRPr="00261F21">
        <w:rPr>
          <w:rFonts w:asciiTheme="minorHAnsi" w:hAnsiTheme="minorHAnsi" w:cs="Arial"/>
          <w:b/>
          <w:szCs w:val="24"/>
        </w:rPr>
        <w:t>Enterprise Agreements</w:t>
      </w:r>
    </w:p>
    <w:p w14:paraId="626FD388" w14:textId="77777777" w:rsidR="009D5C1E" w:rsidRPr="00261F21" w:rsidRDefault="009D5C1E" w:rsidP="009D5C1E">
      <w:pPr>
        <w:numPr>
          <w:ilvl w:val="0"/>
          <w:numId w:val="11"/>
        </w:numPr>
        <w:contextualSpacing/>
        <w:rPr>
          <w:rFonts w:asciiTheme="minorHAnsi" w:hAnsiTheme="minorHAnsi" w:cs="Arial"/>
          <w:szCs w:val="24"/>
        </w:rPr>
      </w:pPr>
      <w:r w:rsidRPr="00261F21">
        <w:rPr>
          <w:rFonts w:asciiTheme="minorHAnsi" w:hAnsiTheme="minorHAnsi" w:cs="Arial"/>
          <w:szCs w:val="24"/>
        </w:rPr>
        <w:t>ACT Public Service Medical Practitioners Enterprise Agreement 2017-2021</w:t>
      </w:r>
    </w:p>
    <w:p w14:paraId="7712F6B3" w14:textId="77777777" w:rsidR="009D5C1E" w:rsidRPr="00261F21" w:rsidRDefault="009D5C1E" w:rsidP="009D5C1E">
      <w:pPr>
        <w:rPr>
          <w:rFonts w:asciiTheme="minorHAnsi" w:hAnsiTheme="minorHAnsi" w:cs="Arial"/>
          <w:szCs w:val="24"/>
        </w:rPr>
      </w:pPr>
    </w:p>
    <w:p w14:paraId="2F51A8DB" w14:textId="55C13A59" w:rsidR="00FF56DD" w:rsidRDefault="00316E08" w:rsidP="006F55F3">
      <w:pPr>
        <w:pStyle w:val="ListParagraph"/>
        <w:jc w:val="right"/>
        <w:rPr>
          <w:rFonts w:cs="Calibri,Bold"/>
          <w:bCs/>
          <w:i/>
          <w:szCs w:val="24"/>
          <w:lang w:eastAsia="en-AU"/>
        </w:rPr>
      </w:pPr>
      <w:hyperlink w:anchor="Contents" w:history="1">
        <w:r w:rsidR="007B690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DD" w14:textId="77777777" w:rsidTr="0074223E">
        <w:trPr>
          <w:cantSplit/>
          <w:trHeight w:val="285"/>
        </w:trPr>
        <w:tc>
          <w:tcPr>
            <w:tcW w:w="9158" w:type="dxa"/>
            <w:shd w:val="clear" w:color="auto" w:fill="A6A6A6" w:themeFill="background1" w:themeFillShade="A6"/>
          </w:tcPr>
          <w:p w14:paraId="2F51A8DC" w14:textId="77777777" w:rsidR="007B6904" w:rsidRPr="00CD1C0E" w:rsidRDefault="007B6904" w:rsidP="004213C3">
            <w:pPr>
              <w:pStyle w:val="Heading1"/>
            </w:pPr>
            <w:bookmarkStart w:id="24" w:name="_Toc389473290"/>
            <w:bookmarkStart w:id="25" w:name="_Toc71711796"/>
            <w:r>
              <w:t>Search Terms</w:t>
            </w:r>
            <w:bookmarkEnd w:id="24"/>
            <w:bookmarkEnd w:id="25"/>
            <w:r>
              <w:t xml:space="preserve"> </w:t>
            </w:r>
          </w:p>
        </w:tc>
      </w:tr>
    </w:tbl>
    <w:p w14:paraId="2F51A8DE" w14:textId="77777777" w:rsidR="007B6904" w:rsidRDefault="007B6904" w:rsidP="007B6904">
      <w:pPr>
        <w:rPr>
          <w:rFonts w:cs="Calibri,Bold"/>
          <w:bCs/>
          <w:i/>
          <w:szCs w:val="24"/>
          <w:lang w:eastAsia="en-AU"/>
        </w:rPr>
      </w:pPr>
    </w:p>
    <w:p w14:paraId="2F51A8E0" w14:textId="0E02528A" w:rsidR="007B6904" w:rsidRDefault="00E20B1B" w:rsidP="00E20B1B">
      <w:pPr>
        <w:keepNext/>
        <w:keepLines/>
        <w:rPr>
          <w:rFonts w:asciiTheme="minorHAnsi" w:hAnsiTheme="minorHAnsi" w:cs="Arial"/>
          <w:szCs w:val="24"/>
        </w:rPr>
      </w:pPr>
      <w:r w:rsidRPr="00840056">
        <w:rPr>
          <w:rFonts w:asciiTheme="minorHAnsi" w:hAnsiTheme="minorHAnsi" w:cs="Arial"/>
          <w:szCs w:val="24"/>
        </w:rPr>
        <w:t xml:space="preserve">Flexible Working Arrangements, Specialists and Senior Specialists, Senior Medical Practitioners, work </w:t>
      </w:r>
      <w:r w:rsidRPr="00261F21">
        <w:rPr>
          <w:rFonts w:asciiTheme="minorHAnsi" w:hAnsiTheme="minorHAnsi" w:cs="Arial"/>
          <w:szCs w:val="24"/>
        </w:rPr>
        <w:t>life balance, Medical Practitioners Enterprise Agreement 201</w:t>
      </w:r>
      <w:r w:rsidR="00B66B98" w:rsidRPr="00261F21">
        <w:rPr>
          <w:rFonts w:asciiTheme="minorHAnsi" w:hAnsiTheme="minorHAnsi" w:cs="Arial"/>
          <w:szCs w:val="24"/>
        </w:rPr>
        <w:t>7</w:t>
      </w:r>
      <w:r w:rsidRPr="00261F21">
        <w:rPr>
          <w:rFonts w:asciiTheme="minorHAnsi" w:hAnsiTheme="minorHAnsi" w:cs="Arial"/>
          <w:szCs w:val="24"/>
        </w:rPr>
        <w:t>-20</w:t>
      </w:r>
      <w:r w:rsidR="00B66B98" w:rsidRPr="00261F21">
        <w:rPr>
          <w:rFonts w:asciiTheme="minorHAnsi" w:hAnsiTheme="minorHAnsi" w:cs="Arial"/>
          <w:szCs w:val="24"/>
        </w:rPr>
        <w:t>21</w:t>
      </w:r>
      <w:r w:rsidRPr="00261F21">
        <w:rPr>
          <w:rFonts w:asciiTheme="minorHAnsi" w:hAnsiTheme="minorHAnsi" w:cs="Arial"/>
          <w:szCs w:val="24"/>
        </w:rPr>
        <w:t>, process, application</w:t>
      </w:r>
      <w:r w:rsidR="007947FF" w:rsidRPr="00261F21">
        <w:rPr>
          <w:rFonts w:asciiTheme="minorHAnsi" w:hAnsiTheme="minorHAnsi" w:cs="Arial"/>
          <w:szCs w:val="24"/>
        </w:rPr>
        <w:t>, private practice</w:t>
      </w:r>
      <w:r w:rsidR="00B8608E" w:rsidRPr="00261F21">
        <w:rPr>
          <w:rFonts w:asciiTheme="minorHAnsi" w:hAnsiTheme="minorHAnsi" w:cs="Arial"/>
          <w:szCs w:val="24"/>
        </w:rPr>
        <w:t>.</w:t>
      </w:r>
    </w:p>
    <w:p w14:paraId="0A25223F" w14:textId="77777777" w:rsidR="00B8608E" w:rsidRPr="00E20B1B" w:rsidRDefault="00B8608E" w:rsidP="00E20B1B">
      <w:pPr>
        <w:keepNext/>
        <w:keepLines/>
        <w:rPr>
          <w:rFonts w:asciiTheme="minorHAnsi" w:hAnsiTheme="minorHAnsi" w:cs="Arial"/>
          <w:szCs w:val="24"/>
        </w:rPr>
      </w:pPr>
    </w:p>
    <w:p w14:paraId="7B384206" w14:textId="2D8F1941" w:rsidR="00B8608E" w:rsidRPr="00AC7025" w:rsidRDefault="00316E08" w:rsidP="00AC7025">
      <w:pPr>
        <w:jc w:val="right"/>
        <w:rPr>
          <w:rFonts w:cs="Calibri,Bold"/>
          <w:bCs/>
          <w:i/>
          <w:szCs w:val="24"/>
          <w:lang w:eastAsia="en-AU"/>
        </w:rPr>
      </w:pPr>
      <w:hyperlink w:anchor="Contents" w:history="1">
        <w:r w:rsidR="007B6904" w:rsidRPr="00590902">
          <w:rPr>
            <w:rStyle w:val="Hyperlink"/>
            <w:rFonts w:cs="Arial"/>
            <w:i/>
            <w:szCs w:val="24"/>
          </w:rPr>
          <w:t>Back to Table of Contents</w:t>
        </w:r>
      </w:hyperlink>
      <w:bookmarkStart w:id="26" w:name="_Toc396995664"/>
    </w:p>
    <w:tbl>
      <w:tblPr>
        <w:tblpPr w:leftFromText="180" w:rightFromText="180" w:vertAnchor="text" w:horzAnchor="margin" w:tblpY="181"/>
        <w:tblW w:w="9158" w:type="dxa"/>
        <w:tblLook w:val="0000" w:firstRow="0" w:lastRow="0" w:firstColumn="0" w:lastColumn="0" w:noHBand="0" w:noVBand="0"/>
      </w:tblPr>
      <w:tblGrid>
        <w:gridCol w:w="9158"/>
      </w:tblGrid>
      <w:tr w:rsidR="002405CF" w:rsidRPr="000F1F60" w14:paraId="2F51A8E3" w14:textId="77777777" w:rsidTr="0074223E">
        <w:trPr>
          <w:cantSplit/>
          <w:trHeight w:val="285"/>
        </w:trPr>
        <w:tc>
          <w:tcPr>
            <w:tcW w:w="9158" w:type="dxa"/>
            <w:shd w:val="clear" w:color="auto" w:fill="A6A6A6" w:themeFill="background1" w:themeFillShade="A6"/>
          </w:tcPr>
          <w:p w14:paraId="2F51A8E2" w14:textId="77777777" w:rsidR="002405CF" w:rsidRPr="000F1F60" w:rsidRDefault="002405CF" w:rsidP="00CC5D11">
            <w:pPr>
              <w:pStyle w:val="Heading1"/>
            </w:pPr>
            <w:bookmarkStart w:id="27" w:name="_Toc71711797"/>
            <w:r>
              <w:t>Attachments</w:t>
            </w:r>
            <w:bookmarkEnd w:id="27"/>
          </w:p>
        </w:tc>
      </w:tr>
      <w:bookmarkEnd w:id="26"/>
    </w:tbl>
    <w:p w14:paraId="2F51A8E4" w14:textId="77777777" w:rsidR="00DE4E25" w:rsidRDefault="00DE4E25" w:rsidP="007B6904">
      <w:pPr>
        <w:rPr>
          <w:rFonts w:cs="Arial"/>
          <w:i/>
          <w:szCs w:val="24"/>
        </w:rPr>
      </w:pPr>
    </w:p>
    <w:p w14:paraId="7CCBEF8E" w14:textId="2CBC1E55" w:rsidR="00B66B98" w:rsidRPr="006F55F3" w:rsidRDefault="00B66B98" w:rsidP="00B66B98">
      <w:pPr>
        <w:rPr>
          <w:rFonts w:asciiTheme="minorHAnsi" w:hAnsiTheme="minorHAnsi" w:cs="Arial"/>
          <w:bCs/>
          <w:szCs w:val="24"/>
        </w:rPr>
      </w:pPr>
      <w:r w:rsidRPr="006F55F3">
        <w:rPr>
          <w:rFonts w:asciiTheme="minorHAnsi" w:hAnsiTheme="minorHAnsi" w:cs="Arial"/>
          <w:bCs/>
          <w:szCs w:val="24"/>
        </w:rPr>
        <w:t xml:space="preserve">Attachment 1 </w:t>
      </w:r>
      <w:r w:rsidR="006F55F3">
        <w:rPr>
          <w:rFonts w:asciiTheme="minorHAnsi" w:hAnsiTheme="minorHAnsi" w:cs="Arial"/>
          <w:bCs/>
          <w:szCs w:val="24"/>
        </w:rPr>
        <w:t xml:space="preserve">– </w:t>
      </w:r>
      <w:r w:rsidRPr="006F55F3">
        <w:rPr>
          <w:rFonts w:asciiTheme="minorHAnsi" w:hAnsiTheme="minorHAnsi" w:cs="Arial"/>
          <w:bCs/>
          <w:szCs w:val="24"/>
        </w:rPr>
        <w:t xml:space="preserve">Application for Flexible Working Arrangements </w:t>
      </w:r>
      <w:r w:rsidR="00EF471D" w:rsidRPr="006F55F3">
        <w:rPr>
          <w:rFonts w:asciiTheme="minorHAnsi" w:hAnsiTheme="minorHAnsi" w:cs="Arial"/>
          <w:bCs/>
          <w:szCs w:val="24"/>
        </w:rPr>
        <w:t>Relating to Private Practice</w:t>
      </w:r>
      <w:r w:rsidR="006F55F3">
        <w:rPr>
          <w:rFonts w:asciiTheme="minorHAnsi" w:hAnsiTheme="minorHAnsi" w:cs="Arial"/>
          <w:bCs/>
          <w:szCs w:val="24"/>
        </w:rPr>
        <w:t>:</w:t>
      </w:r>
      <w:r w:rsidRPr="006F55F3">
        <w:rPr>
          <w:rFonts w:asciiTheme="minorHAnsi" w:hAnsiTheme="minorHAnsi" w:cs="Arial"/>
          <w:bCs/>
          <w:szCs w:val="24"/>
        </w:rPr>
        <w:t xml:space="preserve"> Specialists and Senior Specialists (May 2021)</w:t>
      </w:r>
    </w:p>
    <w:p w14:paraId="2F51A8E6" w14:textId="445BA0B6" w:rsidR="00FF56DD" w:rsidRDefault="00FF56DD" w:rsidP="007B6904">
      <w:pPr>
        <w:rPr>
          <w:rFonts w:cs="Arial"/>
          <w:szCs w:val="24"/>
        </w:rPr>
      </w:pPr>
    </w:p>
    <w:p w14:paraId="0A314C66" w14:textId="77777777" w:rsidR="00B66B98" w:rsidRDefault="00B66B98" w:rsidP="007B6904">
      <w:pPr>
        <w:rPr>
          <w:rFonts w:cs="Arial"/>
          <w:szCs w:val="24"/>
        </w:rPr>
      </w:pPr>
    </w:p>
    <w:p w14:paraId="741BB234" w14:textId="77777777" w:rsidR="00ED46C3" w:rsidRPr="008202D3" w:rsidRDefault="00ED46C3" w:rsidP="00ED46C3">
      <w:pPr>
        <w:rPr>
          <w:rFonts w:cs="Arial"/>
          <w:i/>
          <w:iCs/>
          <w:sz w:val="20"/>
        </w:rPr>
      </w:pPr>
      <w:r w:rsidRPr="008202D3">
        <w:rPr>
          <w:rFonts w:cs="Arial"/>
          <w:b/>
          <w:sz w:val="20"/>
        </w:rPr>
        <w:t>Disclaimer</w:t>
      </w:r>
      <w:r w:rsidRPr="008202D3">
        <w:rPr>
          <w:rFonts w:cs="Arial"/>
          <w:sz w:val="20"/>
        </w:rPr>
        <w:t xml:space="preserve">: </w:t>
      </w:r>
      <w:r w:rsidRPr="008202D3">
        <w:rPr>
          <w:rFonts w:cs="Arial"/>
          <w:i/>
          <w:iCs/>
          <w:sz w:val="20"/>
        </w:rPr>
        <w:t xml:space="preserve">This document has been developed by Canberra Health Services specifically for its own use.  Use of this document and any reliance on the information contained therein by any third party is at his or her own risk and </w:t>
      </w:r>
      <w:r>
        <w:rPr>
          <w:rFonts w:cs="Arial"/>
          <w:i/>
          <w:iCs/>
          <w:sz w:val="20"/>
        </w:rPr>
        <w:t>Canberra Health Services</w:t>
      </w:r>
      <w:r w:rsidRPr="008202D3">
        <w:rPr>
          <w:rFonts w:cs="Arial"/>
          <w:i/>
          <w:iCs/>
          <w:sz w:val="20"/>
        </w:rPr>
        <w:t xml:space="preserve"> assumes no responsibility whatsoever.</w:t>
      </w:r>
    </w:p>
    <w:p w14:paraId="6590710B" w14:textId="77777777" w:rsidR="00ED46C3" w:rsidRPr="008202D3" w:rsidRDefault="00ED46C3" w:rsidP="00ED46C3">
      <w:pPr>
        <w:rPr>
          <w:rFonts w:cs="Arial"/>
          <w:i/>
          <w:iCs/>
          <w:sz w:val="20"/>
        </w:rPr>
      </w:pPr>
    </w:p>
    <w:p w14:paraId="714DB272" w14:textId="77777777" w:rsidR="00ED46C3" w:rsidRPr="008202D3" w:rsidRDefault="00ED46C3" w:rsidP="00ED46C3">
      <w:pPr>
        <w:rPr>
          <w:rFonts w:cs="Arial"/>
          <w:i/>
          <w:iCs/>
          <w:sz w:val="20"/>
        </w:rPr>
      </w:pPr>
      <w:r w:rsidRPr="008202D3">
        <w:rPr>
          <w:rFonts w:cs="Arial"/>
          <w:i/>
          <w:iCs/>
          <w:sz w:val="20"/>
        </w:rPr>
        <w:t>Policy Team ONLY to complete the following:</w:t>
      </w:r>
    </w:p>
    <w:tbl>
      <w:tblPr>
        <w:tblStyle w:val="TableGrid"/>
        <w:tblW w:w="0" w:type="auto"/>
        <w:tblLook w:val="04A0" w:firstRow="1" w:lastRow="0" w:firstColumn="1" w:lastColumn="0" w:noHBand="0" w:noVBand="1"/>
      </w:tblPr>
      <w:tblGrid>
        <w:gridCol w:w="1838"/>
        <w:gridCol w:w="2268"/>
        <w:gridCol w:w="2689"/>
        <w:gridCol w:w="2265"/>
      </w:tblGrid>
      <w:tr w:rsidR="00ED46C3" w:rsidRPr="008202D3" w14:paraId="3D8FB228" w14:textId="77777777" w:rsidTr="00316E08">
        <w:tc>
          <w:tcPr>
            <w:tcW w:w="1838" w:type="dxa"/>
          </w:tcPr>
          <w:p w14:paraId="4CC3BE7E" w14:textId="77777777" w:rsidR="00ED46C3" w:rsidRPr="008202D3" w:rsidRDefault="00ED46C3" w:rsidP="006A1250">
            <w:pPr>
              <w:rPr>
                <w:i/>
                <w:sz w:val="20"/>
              </w:rPr>
            </w:pPr>
            <w:r w:rsidRPr="008202D3">
              <w:rPr>
                <w:i/>
                <w:sz w:val="20"/>
              </w:rPr>
              <w:t>Date Amended</w:t>
            </w:r>
          </w:p>
        </w:tc>
        <w:tc>
          <w:tcPr>
            <w:tcW w:w="2268" w:type="dxa"/>
          </w:tcPr>
          <w:p w14:paraId="0C6FC403" w14:textId="77777777" w:rsidR="00ED46C3" w:rsidRPr="008202D3" w:rsidRDefault="00ED46C3" w:rsidP="006A1250">
            <w:pPr>
              <w:rPr>
                <w:i/>
                <w:sz w:val="20"/>
              </w:rPr>
            </w:pPr>
            <w:r w:rsidRPr="008202D3">
              <w:rPr>
                <w:i/>
                <w:sz w:val="20"/>
              </w:rPr>
              <w:t>Section Amended</w:t>
            </w:r>
          </w:p>
        </w:tc>
        <w:tc>
          <w:tcPr>
            <w:tcW w:w="2689" w:type="dxa"/>
          </w:tcPr>
          <w:p w14:paraId="36BF7192" w14:textId="77777777" w:rsidR="00ED46C3" w:rsidRPr="008202D3" w:rsidRDefault="00ED46C3" w:rsidP="006A1250">
            <w:pPr>
              <w:rPr>
                <w:i/>
                <w:sz w:val="20"/>
              </w:rPr>
            </w:pPr>
            <w:r w:rsidRPr="008202D3">
              <w:rPr>
                <w:i/>
                <w:sz w:val="20"/>
              </w:rPr>
              <w:t>Divisional Approval</w:t>
            </w:r>
          </w:p>
        </w:tc>
        <w:tc>
          <w:tcPr>
            <w:tcW w:w="2265" w:type="dxa"/>
          </w:tcPr>
          <w:p w14:paraId="6974B6A4" w14:textId="77777777" w:rsidR="00ED46C3" w:rsidRPr="008202D3" w:rsidRDefault="00ED46C3" w:rsidP="006A1250">
            <w:pPr>
              <w:rPr>
                <w:i/>
                <w:sz w:val="20"/>
              </w:rPr>
            </w:pPr>
            <w:r w:rsidRPr="008202D3">
              <w:rPr>
                <w:i/>
                <w:sz w:val="20"/>
              </w:rPr>
              <w:t xml:space="preserve">Final Approval </w:t>
            </w:r>
          </w:p>
        </w:tc>
      </w:tr>
      <w:tr w:rsidR="00ED46C3" w:rsidRPr="008202D3" w14:paraId="69E49990" w14:textId="77777777" w:rsidTr="00316E08">
        <w:tc>
          <w:tcPr>
            <w:tcW w:w="1838" w:type="dxa"/>
          </w:tcPr>
          <w:p w14:paraId="4CB276AE" w14:textId="27D4466C" w:rsidR="00ED46C3" w:rsidRPr="008202D3" w:rsidRDefault="00316E08" w:rsidP="006A1250">
            <w:pPr>
              <w:rPr>
                <w:i/>
                <w:sz w:val="20"/>
              </w:rPr>
            </w:pPr>
            <w:r>
              <w:rPr>
                <w:i/>
                <w:sz w:val="20"/>
              </w:rPr>
              <w:t>17 June 2021</w:t>
            </w:r>
          </w:p>
        </w:tc>
        <w:tc>
          <w:tcPr>
            <w:tcW w:w="2268" w:type="dxa"/>
          </w:tcPr>
          <w:p w14:paraId="757FDC5B" w14:textId="2B208818" w:rsidR="00ED46C3" w:rsidRPr="008202D3" w:rsidRDefault="00316E08" w:rsidP="006A1250">
            <w:pPr>
              <w:rPr>
                <w:i/>
                <w:sz w:val="20"/>
              </w:rPr>
            </w:pPr>
            <w:r>
              <w:rPr>
                <w:i/>
                <w:sz w:val="20"/>
              </w:rPr>
              <w:t xml:space="preserve">Complete Review </w:t>
            </w:r>
          </w:p>
        </w:tc>
        <w:tc>
          <w:tcPr>
            <w:tcW w:w="2689" w:type="dxa"/>
          </w:tcPr>
          <w:p w14:paraId="45358585" w14:textId="2D76D00F" w:rsidR="00ED46C3" w:rsidRPr="008202D3" w:rsidRDefault="00316E08" w:rsidP="006A1250">
            <w:pPr>
              <w:rPr>
                <w:i/>
                <w:sz w:val="20"/>
              </w:rPr>
            </w:pPr>
            <w:r>
              <w:rPr>
                <w:i/>
                <w:sz w:val="20"/>
              </w:rPr>
              <w:t xml:space="preserve">Raelene </w:t>
            </w:r>
            <w:proofErr w:type="spellStart"/>
            <w:proofErr w:type="gramStart"/>
            <w:r>
              <w:rPr>
                <w:i/>
                <w:sz w:val="20"/>
              </w:rPr>
              <w:t>Burke,EGM</w:t>
            </w:r>
            <w:proofErr w:type="spellEnd"/>
            <w:proofErr w:type="gramEnd"/>
            <w:r>
              <w:rPr>
                <w:i/>
                <w:sz w:val="20"/>
              </w:rPr>
              <w:t xml:space="preserve">, People &amp; Culture </w:t>
            </w:r>
          </w:p>
        </w:tc>
        <w:tc>
          <w:tcPr>
            <w:tcW w:w="2265" w:type="dxa"/>
          </w:tcPr>
          <w:p w14:paraId="31501FE6" w14:textId="512D74F6" w:rsidR="00ED46C3" w:rsidRPr="008202D3" w:rsidRDefault="00316E08" w:rsidP="006A1250">
            <w:pPr>
              <w:rPr>
                <w:i/>
                <w:sz w:val="20"/>
              </w:rPr>
            </w:pPr>
            <w:r>
              <w:rPr>
                <w:i/>
                <w:sz w:val="20"/>
              </w:rPr>
              <w:t xml:space="preserve">CHS Policy Committee </w:t>
            </w:r>
          </w:p>
        </w:tc>
      </w:tr>
      <w:tr w:rsidR="00ED46C3" w:rsidRPr="008202D3" w14:paraId="4B9C0359" w14:textId="77777777" w:rsidTr="00316E08">
        <w:tc>
          <w:tcPr>
            <w:tcW w:w="1838" w:type="dxa"/>
          </w:tcPr>
          <w:p w14:paraId="01E40F72" w14:textId="77777777" w:rsidR="00ED46C3" w:rsidRPr="008202D3" w:rsidRDefault="00ED46C3" w:rsidP="006A1250">
            <w:pPr>
              <w:rPr>
                <w:i/>
                <w:sz w:val="20"/>
              </w:rPr>
            </w:pPr>
          </w:p>
        </w:tc>
        <w:tc>
          <w:tcPr>
            <w:tcW w:w="2268" w:type="dxa"/>
          </w:tcPr>
          <w:p w14:paraId="25312BA2" w14:textId="77777777" w:rsidR="00ED46C3" w:rsidRPr="008202D3" w:rsidRDefault="00ED46C3" w:rsidP="006A1250">
            <w:pPr>
              <w:rPr>
                <w:i/>
                <w:sz w:val="20"/>
              </w:rPr>
            </w:pPr>
          </w:p>
        </w:tc>
        <w:tc>
          <w:tcPr>
            <w:tcW w:w="2689" w:type="dxa"/>
          </w:tcPr>
          <w:p w14:paraId="6A63A790" w14:textId="77777777" w:rsidR="00ED46C3" w:rsidRPr="008202D3" w:rsidRDefault="00ED46C3" w:rsidP="006A1250">
            <w:pPr>
              <w:rPr>
                <w:i/>
                <w:sz w:val="20"/>
              </w:rPr>
            </w:pPr>
          </w:p>
        </w:tc>
        <w:tc>
          <w:tcPr>
            <w:tcW w:w="2265" w:type="dxa"/>
          </w:tcPr>
          <w:p w14:paraId="0C203B9F" w14:textId="77777777" w:rsidR="00ED46C3" w:rsidRPr="008202D3" w:rsidRDefault="00ED46C3" w:rsidP="006A1250">
            <w:pPr>
              <w:rPr>
                <w:i/>
                <w:sz w:val="20"/>
              </w:rPr>
            </w:pPr>
          </w:p>
        </w:tc>
      </w:tr>
    </w:tbl>
    <w:p w14:paraId="3B395D33" w14:textId="77777777" w:rsidR="00ED46C3" w:rsidRPr="008202D3" w:rsidRDefault="00ED46C3" w:rsidP="00ED46C3">
      <w:pPr>
        <w:rPr>
          <w:rFonts w:cs="Arial"/>
          <w:sz w:val="20"/>
        </w:rPr>
      </w:pPr>
    </w:p>
    <w:p w14:paraId="22B94EA3" w14:textId="77777777" w:rsidR="00ED46C3" w:rsidRPr="008202D3" w:rsidRDefault="00ED46C3" w:rsidP="00ED46C3">
      <w:pPr>
        <w:rPr>
          <w:rFonts w:cs="Arial"/>
          <w:i/>
          <w:sz w:val="20"/>
        </w:rPr>
      </w:pPr>
      <w:r w:rsidRPr="008202D3">
        <w:rPr>
          <w:rFonts w:cs="Arial"/>
          <w:i/>
          <w:sz w:val="20"/>
        </w:rPr>
        <w:t xml:space="preserve">This document supersedes the following: </w:t>
      </w:r>
    </w:p>
    <w:tbl>
      <w:tblPr>
        <w:tblStyle w:val="TableGrid"/>
        <w:tblW w:w="0" w:type="auto"/>
        <w:tblLook w:val="04A0" w:firstRow="1" w:lastRow="0" w:firstColumn="1" w:lastColumn="0" w:noHBand="0" w:noVBand="1"/>
      </w:tblPr>
      <w:tblGrid>
        <w:gridCol w:w="2122"/>
        <w:gridCol w:w="6938"/>
      </w:tblGrid>
      <w:tr w:rsidR="00ED46C3" w:rsidRPr="008202D3" w14:paraId="3DF1741B" w14:textId="77777777" w:rsidTr="006A1250">
        <w:tc>
          <w:tcPr>
            <w:tcW w:w="2122" w:type="dxa"/>
          </w:tcPr>
          <w:p w14:paraId="3A0A8647" w14:textId="77777777" w:rsidR="00ED46C3" w:rsidRPr="008202D3" w:rsidRDefault="00ED46C3" w:rsidP="006A1250">
            <w:pPr>
              <w:rPr>
                <w:i/>
                <w:sz w:val="20"/>
              </w:rPr>
            </w:pPr>
            <w:r w:rsidRPr="008202D3">
              <w:rPr>
                <w:i/>
                <w:sz w:val="20"/>
              </w:rPr>
              <w:t>Document Number</w:t>
            </w:r>
          </w:p>
        </w:tc>
        <w:tc>
          <w:tcPr>
            <w:tcW w:w="6938" w:type="dxa"/>
          </w:tcPr>
          <w:p w14:paraId="40CE1B13" w14:textId="77777777" w:rsidR="00ED46C3" w:rsidRPr="008202D3" w:rsidRDefault="00ED46C3" w:rsidP="006A1250">
            <w:pPr>
              <w:rPr>
                <w:i/>
                <w:sz w:val="20"/>
              </w:rPr>
            </w:pPr>
            <w:r w:rsidRPr="008202D3">
              <w:rPr>
                <w:i/>
                <w:sz w:val="20"/>
              </w:rPr>
              <w:t>Document Name</w:t>
            </w:r>
          </w:p>
        </w:tc>
      </w:tr>
      <w:tr w:rsidR="00ED46C3" w:rsidRPr="008202D3" w14:paraId="389A2F7C" w14:textId="77777777" w:rsidTr="006A1250">
        <w:tc>
          <w:tcPr>
            <w:tcW w:w="2122" w:type="dxa"/>
          </w:tcPr>
          <w:p w14:paraId="72FFFF3B" w14:textId="177FAF51" w:rsidR="00ED46C3" w:rsidRPr="008202D3" w:rsidRDefault="00316E08" w:rsidP="006A1250">
            <w:pPr>
              <w:rPr>
                <w:i/>
                <w:sz w:val="20"/>
              </w:rPr>
            </w:pPr>
            <w:r>
              <w:rPr>
                <w:i/>
                <w:sz w:val="20"/>
              </w:rPr>
              <w:t>CHHS14/020</w:t>
            </w:r>
          </w:p>
        </w:tc>
        <w:tc>
          <w:tcPr>
            <w:tcW w:w="6938" w:type="dxa"/>
          </w:tcPr>
          <w:p w14:paraId="61EF68F3" w14:textId="18AE8007" w:rsidR="00ED46C3" w:rsidRPr="008202D3" w:rsidRDefault="00316E08" w:rsidP="006A1250">
            <w:pPr>
              <w:rPr>
                <w:i/>
                <w:sz w:val="20"/>
              </w:rPr>
            </w:pPr>
            <w:r w:rsidRPr="00316E08">
              <w:rPr>
                <w:i/>
                <w:sz w:val="20"/>
              </w:rPr>
              <w:t>Flexible Working Arrangements – Specialists and Senior Specialists</w:t>
            </w:r>
          </w:p>
        </w:tc>
      </w:tr>
      <w:tr w:rsidR="00ED46C3" w:rsidRPr="008202D3" w14:paraId="4414C7E4" w14:textId="77777777" w:rsidTr="006A1250">
        <w:tc>
          <w:tcPr>
            <w:tcW w:w="2122" w:type="dxa"/>
          </w:tcPr>
          <w:p w14:paraId="0E1C6F88" w14:textId="77777777" w:rsidR="00ED46C3" w:rsidRPr="008202D3" w:rsidRDefault="00ED46C3" w:rsidP="006A1250">
            <w:pPr>
              <w:rPr>
                <w:i/>
                <w:sz w:val="20"/>
              </w:rPr>
            </w:pPr>
          </w:p>
        </w:tc>
        <w:tc>
          <w:tcPr>
            <w:tcW w:w="6938" w:type="dxa"/>
          </w:tcPr>
          <w:p w14:paraId="73EF72D2" w14:textId="77777777" w:rsidR="00ED46C3" w:rsidRPr="008202D3" w:rsidRDefault="00ED46C3" w:rsidP="006A1250">
            <w:pPr>
              <w:rPr>
                <w:i/>
                <w:sz w:val="20"/>
              </w:rPr>
            </w:pPr>
          </w:p>
        </w:tc>
      </w:tr>
    </w:tbl>
    <w:p w14:paraId="2F51A905" w14:textId="4B72F621" w:rsidR="006A1250" w:rsidRDefault="006A1250" w:rsidP="007B6904">
      <w:pPr>
        <w:rPr>
          <w:rFonts w:cs="Arial"/>
          <w:szCs w:val="24"/>
        </w:rPr>
      </w:pPr>
    </w:p>
    <w:p w14:paraId="68DE3D62" w14:textId="11401805" w:rsidR="006A1250" w:rsidRPr="001F4113" w:rsidRDefault="006A1250" w:rsidP="009D5C1E">
      <w:pPr>
        <w:pStyle w:val="Heading2"/>
      </w:pPr>
      <w:r>
        <w:rPr>
          <w:rFonts w:cs="Arial"/>
          <w:szCs w:val="24"/>
        </w:rPr>
        <w:br w:type="page"/>
      </w:r>
      <w:bookmarkStart w:id="28" w:name="_Toc71711798"/>
      <w:r w:rsidRPr="001F4113">
        <w:lastRenderedPageBreak/>
        <w:t>Attachment 1</w:t>
      </w:r>
      <w:r w:rsidR="006F55F3" w:rsidRPr="001F4113">
        <w:t xml:space="preserve"> – Application </w:t>
      </w:r>
      <w:proofErr w:type="gramStart"/>
      <w:r w:rsidR="006F55F3" w:rsidRPr="001F4113">
        <w:t>For</w:t>
      </w:r>
      <w:proofErr w:type="gramEnd"/>
      <w:r w:rsidR="006F55F3" w:rsidRPr="001F4113">
        <w:t xml:space="preserve"> Flexible Working Arrangements Relating To Private Practice: Specialists And Senior Specialists </w:t>
      </w:r>
      <w:r w:rsidRPr="001F4113">
        <w:t>(</w:t>
      </w:r>
      <w:r w:rsidR="006F55F3" w:rsidRPr="001F4113">
        <w:t xml:space="preserve">May </w:t>
      </w:r>
      <w:r w:rsidRPr="001F4113">
        <w:t>2021)</w:t>
      </w:r>
      <w:bookmarkEnd w:id="28"/>
    </w:p>
    <w:p w14:paraId="5C9E460E" w14:textId="69E9009B" w:rsidR="009D5C1E" w:rsidRDefault="00D35C3A" w:rsidP="006A1250">
      <w:pPr>
        <w:pStyle w:val="Heading2"/>
      </w:pPr>
      <w:bookmarkStart w:id="29" w:name="_Toc71711799"/>
      <w:r>
        <w:rPr>
          <w:noProof/>
          <w:lang w:eastAsia="en-AU"/>
        </w:rPr>
        <mc:AlternateContent>
          <mc:Choice Requires="wps">
            <w:drawing>
              <wp:anchor distT="0" distB="0" distL="114300" distR="114300" simplePos="0" relativeHeight="251659264" behindDoc="0" locked="0" layoutInCell="1" allowOverlap="1" wp14:anchorId="6B38DB16" wp14:editId="530138AE">
                <wp:simplePos x="0" y="0"/>
                <wp:positionH relativeFrom="column">
                  <wp:posOffset>537845</wp:posOffset>
                </wp:positionH>
                <wp:positionV relativeFrom="paragraph">
                  <wp:posOffset>2965450</wp:posOffset>
                </wp:positionV>
                <wp:extent cx="5193665" cy="7981950"/>
                <wp:effectExtent l="38100" t="1066800" r="0" b="1062990"/>
                <wp:wrapNone/>
                <wp:docPr id="4" name="Text Box 4"/>
                <wp:cNvGraphicFramePr/>
                <a:graphic xmlns:a="http://schemas.openxmlformats.org/drawingml/2006/main">
                  <a:graphicData uri="http://schemas.microsoft.com/office/word/2010/wordprocessingShape">
                    <wps:wsp>
                      <wps:cNvSpPr txBox="1"/>
                      <wps:spPr>
                        <a:xfrm rot="19493818">
                          <a:off x="0" y="0"/>
                          <a:ext cx="5193665" cy="7981950"/>
                        </a:xfrm>
                        <a:prstGeom prst="rect">
                          <a:avLst/>
                        </a:prstGeom>
                        <a:noFill/>
                        <a:ln>
                          <a:noFill/>
                        </a:ln>
                      </wps:spPr>
                      <wps:txbx>
                        <w:txbxContent>
                          <w:p w14:paraId="66C35CA0" w14:textId="1C7AC25C" w:rsidR="00D35C3A" w:rsidRPr="00D35C3A" w:rsidRDefault="00D35C3A" w:rsidP="00D35C3A">
                            <w:pPr>
                              <w:pStyle w:val="Heading2"/>
                              <w:jc w:val="center"/>
                              <w:rPr>
                                <w:b w:val="0"/>
                                <w:noProof/>
                                <w:color w:val="A6A6A6" w:themeColor="background1" w:themeShade="A6"/>
                                <w:sz w:val="200"/>
                                <w:szCs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5C3A">
                              <w:rPr>
                                <w:b w:val="0"/>
                                <w:noProof/>
                                <w:color w:val="A6A6A6" w:themeColor="background1" w:themeShade="A6"/>
                                <w:sz w:val="200"/>
                                <w:szCs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B38DB16" id="_x0000_t202" coordsize="21600,21600" o:spt="202" path="m,l,21600r21600,l21600,xe">
                <v:stroke joinstyle="miter"/>
                <v:path gradientshapeok="t" o:connecttype="rect"/>
              </v:shapetype>
              <v:shape id="Text Box 4" o:spid="_x0000_s1026" type="#_x0000_t202" style="position:absolute;margin-left:42.35pt;margin-top:233.5pt;width:408.95pt;height:628.5pt;rotation:-2300512fd;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" filled="f" stroked="f">
                <v:textbox style="mso-fit-shape-to-text:t">
                  <w:txbxContent>
                    <w:p w14:paraId="66C35CA0" w14:textId="1C7AC25C" w:rsidR="00D35C3A" w:rsidRPr="00D35C3A" w:rsidRDefault="00D35C3A" w:rsidP="00D35C3A">
                      <w:pPr>
                        <w:pStyle w:val="Heading2"/>
                        <w:jc w:val="center"/>
                        <w:rPr>
                          <w:b w:val="0"/>
                          <w:noProof/>
                          <w:color w:val="A6A6A6" w:themeColor="background1" w:themeShade="A6"/>
                          <w:sz w:val="200"/>
                          <w:szCs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5C3A">
                        <w:rPr>
                          <w:b w:val="0"/>
                          <w:noProof/>
                          <w:color w:val="A6A6A6" w:themeColor="background1" w:themeShade="A6"/>
                          <w:sz w:val="200"/>
                          <w:szCs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SAMPLE</w:t>
                      </w:r>
                    </w:p>
                  </w:txbxContent>
                </v:textbox>
              </v:shape>
            </w:pict>
          </mc:Fallback>
        </mc:AlternateContent>
      </w:r>
      <w:r>
        <w:rPr>
          <w:noProof/>
          <w:lang w:eastAsia="en-AU"/>
        </w:rPr>
        <w:drawing>
          <wp:inline distT="0" distB="0" distL="0" distR="0" wp14:anchorId="4695F90C" wp14:editId="7D43111B">
            <wp:extent cx="5194166" cy="79819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97407" cy="7986931"/>
                    </a:xfrm>
                    <a:prstGeom prst="rect">
                      <a:avLst/>
                    </a:prstGeom>
                  </pic:spPr>
                </pic:pic>
              </a:graphicData>
            </a:graphic>
          </wp:inline>
        </w:drawing>
      </w:r>
    </w:p>
    <w:p w14:paraId="63D30546" w14:textId="2B00297C" w:rsidR="00D35C3A" w:rsidRPr="00D35C3A" w:rsidRDefault="00D35C3A" w:rsidP="00D35C3A">
      <w:r>
        <w:rPr>
          <w:noProof/>
          <w:lang w:eastAsia="en-AU"/>
        </w:rPr>
        <w:lastRenderedPageBreak/>
        <mc:AlternateContent>
          <mc:Choice Requires="wps">
            <w:drawing>
              <wp:anchor distT="0" distB="0" distL="114300" distR="114300" simplePos="0" relativeHeight="251661312" behindDoc="0" locked="0" layoutInCell="1" allowOverlap="1" wp14:anchorId="4044481F" wp14:editId="7263056F">
                <wp:simplePos x="0" y="0"/>
                <wp:positionH relativeFrom="column">
                  <wp:posOffset>633094</wp:posOffset>
                </wp:positionH>
                <wp:positionV relativeFrom="paragraph">
                  <wp:posOffset>2175510</wp:posOffset>
                </wp:positionV>
                <wp:extent cx="5193665" cy="7981950"/>
                <wp:effectExtent l="38100" t="1066800" r="0" b="1062990"/>
                <wp:wrapNone/>
                <wp:docPr id="5" name="Text Box 5"/>
                <wp:cNvGraphicFramePr/>
                <a:graphic xmlns:a="http://schemas.openxmlformats.org/drawingml/2006/main">
                  <a:graphicData uri="http://schemas.microsoft.com/office/word/2010/wordprocessingShape">
                    <wps:wsp>
                      <wps:cNvSpPr txBox="1"/>
                      <wps:spPr>
                        <a:xfrm rot="19493818">
                          <a:off x="0" y="0"/>
                          <a:ext cx="5193665" cy="7981950"/>
                        </a:xfrm>
                        <a:prstGeom prst="rect">
                          <a:avLst/>
                        </a:prstGeom>
                        <a:noFill/>
                        <a:ln>
                          <a:noFill/>
                        </a:ln>
                      </wps:spPr>
                      <wps:txbx>
                        <w:txbxContent>
                          <w:p w14:paraId="710DBACF" w14:textId="77777777" w:rsidR="00D35C3A" w:rsidRPr="00D35C3A" w:rsidRDefault="00D35C3A" w:rsidP="00D35C3A">
                            <w:pPr>
                              <w:pStyle w:val="Heading2"/>
                              <w:jc w:val="center"/>
                              <w:rPr>
                                <w:b w:val="0"/>
                                <w:noProof/>
                                <w:color w:val="A6A6A6" w:themeColor="background1" w:themeShade="A6"/>
                                <w:sz w:val="200"/>
                                <w:szCs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5C3A">
                              <w:rPr>
                                <w:b w:val="0"/>
                                <w:noProof/>
                                <w:color w:val="A6A6A6" w:themeColor="background1" w:themeShade="A6"/>
                                <w:sz w:val="200"/>
                                <w:szCs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044481F" id="Text Box 5" o:spid="_x0000_s1027" type="#_x0000_t202" style="position:absolute;margin-left:49.85pt;margin-top:171.3pt;width:408.95pt;height:628.5pt;rotation:-2300512fd;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" filled="f" stroked="f">
                <v:textbox style="mso-fit-shape-to-text:t">
                  <w:txbxContent>
                    <w:p w14:paraId="710DBACF" w14:textId="77777777" w:rsidR="00D35C3A" w:rsidRPr="00D35C3A" w:rsidRDefault="00D35C3A" w:rsidP="00D35C3A">
                      <w:pPr>
                        <w:pStyle w:val="Heading2"/>
                        <w:jc w:val="center"/>
                        <w:rPr>
                          <w:b w:val="0"/>
                          <w:noProof/>
                          <w:color w:val="A6A6A6" w:themeColor="background1" w:themeShade="A6"/>
                          <w:sz w:val="200"/>
                          <w:szCs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5C3A">
                        <w:rPr>
                          <w:b w:val="0"/>
                          <w:noProof/>
                          <w:color w:val="A6A6A6" w:themeColor="background1" w:themeShade="A6"/>
                          <w:sz w:val="200"/>
                          <w:szCs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SAMPLE</w:t>
                      </w:r>
                    </w:p>
                  </w:txbxContent>
                </v:textbox>
              </v:shape>
            </w:pict>
          </mc:Fallback>
        </mc:AlternateContent>
      </w:r>
      <w:r>
        <w:rPr>
          <w:noProof/>
          <w:lang w:eastAsia="en-AU"/>
        </w:rPr>
        <w:drawing>
          <wp:inline distT="0" distB="0" distL="0" distR="0" wp14:anchorId="7FC99068" wp14:editId="70AA4296">
            <wp:extent cx="5759450" cy="893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9450" cy="8933815"/>
                    </a:xfrm>
                    <a:prstGeom prst="rect">
                      <a:avLst/>
                    </a:prstGeom>
                  </pic:spPr>
                </pic:pic>
              </a:graphicData>
            </a:graphic>
          </wp:inline>
        </w:drawing>
      </w:r>
    </w:p>
    <w:bookmarkEnd w:id="29"/>
    <w:sectPr w:rsidR="00D35C3A" w:rsidRPr="00D35C3A" w:rsidSect="004213C3">
      <w:headerReference w:type="default" r:id="rId15"/>
      <w:footerReference w:type="default" r:id="rId16"/>
      <w:pgSz w:w="11906" w:h="16838"/>
      <w:pgMar w:top="663" w:right="1418" w:bottom="1440" w:left="1418" w:header="357"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63347" w14:textId="77777777" w:rsidR="00EF19A2" w:rsidRDefault="00EF19A2" w:rsidP="00F66CB0">
      <w:r>
        <w:separator/>
      </w:r>
    </w:p>
  </w:endnote>
  <w:endnote w:type="continuationSeparator" w:id="0">
    <w:p w14:paraId="7769AEAA" w14:textId="77777777" w:rsidR="00EF19A2" w:rsidRDefault="00EF19A2" w:rsidP="00F6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tblBorders>
      <w:tblLook w:val="00A0" w:firstRow="1" w:lastRow="0" w:firstColumn="1" w:lastColumn="0" w:noHBand="0" w:noVBand="0"/>
    </w:tblPr>
    <w:tblGrid>
      <w:gridCol w:w="1276"/>
      <w:gridCol w:w="851"/>
      <w:gridCol w:w="1275"/>
      <w:gridCol w:w="1418"/>
      <w:gridCol w:w="2414"/>
      <w:gridCol w:w="1836"/>
    </w:tblGrid>
    <w:tr w:rsidR="00BD5064" w:rsidRPr="00AE7C5C" w14:paraId="2F51A914" w14:textId="77777777" w:rsidTr="00316E08">
      <w:tc>
        <w:tcPr>
          <w:tcW w:w="1276" w:type="dxa"/>
        </w:tcPr>
        <w:p w14:paraId="2F51A90E" w14:textId="77777777" w:rsidR="00BD5064" w:rsidRPr="00B3752F" w:rsidRDefault="00BD5064" w:rsidP="004213C3">
          <w:pPr>
            <w:pStyle w:val="Footer"/>
            <w:rPr>
              <w:rFonts w:cs="Arial"/>
              <w:b/>
              <w:bCs/>
              <w:i/>
              <w:sz w:val="20"/>
            </w:rPr>
          </w:pPr>
          <w:r w:rsidRPr="00B3752F">
            <w:rPr>
              <w:rFonts w:cs="Arial"/>
              <w:b/>
              <w:bCs/>
              <w:i/>
              <w:sz w:val="20"/>
            </w:rPr>
            <w:t>Doc Number</w:t>
          </w:r>
        </w:p>
      </w:tc>
      <w:tc>
        <w:tcPr>
          <w:tcW w:w="851" w:type="dxa"/>
        </w:tcPr>
        <w:p w14:paraId="2F51A90F" w14:textId="77777777" w:rsidR="00BD5064" w:rsidRPr="00B3752F" w:rsidRDefault="00BD5064" w:rsidP="004213C3">
          <w:pPr>
            <w:pStyle w:val="Footer"/>
            <w:rPr>
              <w:rFonts w:cs="Arial"/>
              <w:b/>
              <w:bCs/>
              <w:i/>
              <w:sz w:val="20"/>
            </w:rPr>
          </w:pPr>
          <w:r w:rsidRPr="00B3752F">
            <w:rPr>
              <w:rFonts w:cs="Arial"/>
              <w:b/>
              <w:bCs/>
              <w:i/>
              <w:sz w:val="20"/>
            </w:rPr>
            <w:t>Version</w:t>
          </w:r>
        </w:p>
      </w:tc>
      <w:tc>
        <w:tcPr>
          <w:tcW w:w="1275" w:type="dxa"/>
        </w:tcPr>
        <w:p w14:paraId="2F51A910" w14:textId="77777777" w:rsidR="00BD5064" w:rsidRPr="00B3752F" w:rsidRDefault="00BD5064" w:rsidP="004213C3">
          <w:pPr>
            <w:pStyle w:val="Footer"/>
            <w:rPr>
              <w:rFonts w:cs="Arial"/>
              <w:b/>
              <w:bCs/>
              <w:i/>
              <w:sz w:val="20"/>
            </w:rPr>
          </w:pPr>
          <w:r w:rsidRPr="00B3752F">
            <w:rPr>
              <w:rFonts w:cs="Arial"/>
              <w:b/>
              <w:bCs/>
              <w:i/>
              <w:sz w:val="20"/>
            </w:rPr>
            <w:t>Issued</w:t>
          </w:r>
        </w:p>
      </w:tc>
      <w:tc>
        <w:tcPr>
          <w:tcW w:w="1418" w:type="dxa"/>
        </w:tcPr>
        <w:p w14:paraId="2F51A911" w14:textId="77777777" w:rsidR="00BD5064" w:rsidRPr="00B3752F" w:rsidRDefault="00BD5064" w:rsidP="004213C3">
          <w:pPr>
            <w:pStyle w:val="Footer"/>
            <w:rPr>
              <w:rFonts w:cs="Arial"/>
              <w:b/>
              <w:bCs/>
              <w:i/>
              <w:sz w:val="20"/>
            </w:rPr>
          </w:pPr>
          <w:r w:rsidRPr="00B3752F">
            <w:rPr>
              <w:rFonts w:cs="Arial"/>
              <w:b/>
              <w:bCs/>
              <w:i/>
              <w:sz w:val="20"/>
            </w:rPr>
            <w:t>Review Date</w:t>
          </w:r>
        </w:p>
      </w:tc>
      <w:tc>
        <w:tcPr>
          <w:tcW w:w="2414" w:type="dxa"/>
        </w:tcPr>
        <w:p w14:paraId="2F51A912" w14:textId="77777777" w:rsidR="00BD5064" w:rsidRPr="00B3752F" w:rsidRDefault="00BD5064" w:rsidP="004213C3">
          <w:pPr>
            <w:pStyle w:val="Footer"/>
            <w:rPr>
              <w:rFonts w:cs="Arial"/>
              <w:b/>
              <w:bCs/>
              <w:i/>
              <w:sz w:val="20"/>
            </w:rPr>
          </w:pPr>
          <w:r w:rsidRPr="00B3752F">
            <w:rPr>
              <w:rFonts w:cs="Arial"/>
              <w:b/>
              <w:bCs/>
              <w:i/>
              <w:sz w:val="20"/>
            </w:rPr>
            <w:t>Area Responsible</w:t>
          </w:r>
        </w:p>
      </w:tc>
      <w:tc>
        <w:tcPr>
          <w:tcW w:w="1836" w:type="dxa"/>
        </w:tcPr>
        <w:p w14:paraId="2F51A913" w14:textId="77777777" w:rsidR="00BD5064" w:rsidRPr="00B3752F" w:rsidRDefault="00BD5064" w:rsidP="004213C3">
          <w:pPr>
            <w:pStyle w:val="Footer"/>
            <w:rPr>
              <w:rFonts w:cs="Arial"/>
              <w:b/>
              <w:bCs/>
              <w:i/>
              <w:sz w:val="20"/>
            </w:rPr>
          </w:pPr>
          <w:r w:rsidRPr="00B3752F">
            <w:rPr>
              <w:rFonts w:cs="Arial"/>
              <w:b/>
              <w:bCs/>
              <w:i/>
              <w:sz w:val="20"/>
            </w:rPr>
            <w:t>Page</w:t>
          </w:r>
        </w:p>
      </w:tc>
    </w:tr>
    <w:tr w:rsidR="00BD5064" w14:paraId="2F51A91B" w14:textId="77777777" w:rsidTr="00316E08">
      <w:tc>
        <w:tcPr>
          <w:tcW w:w="1276" w:type="dxa"/>
        </w:tcPr>
        <w:p w14:paraId="2F51A915" w14:textId="19B810D1" w:rsidR="00BD5064" w:rsidRPr="00542EE6" w:rsidRDefault="00316E08" w:rsidP="004213C3">
          <w:pPr>
            <w:pStyle w:val="Footer"/>
            <w:rPr>
              <w:rFonts w:cs="Arial"/>
              <w:b/>
              <w:bCs/>
              <w:sz w:val="20"/>
            </w:rPr>
          </w:pPr>
          <w:r>
            <w:rPr>
              <w:b/>
              <w:sz w:val="20"/>
            </w:rPr>
            <w:t>CHS21/371</w:t>
          </w:r>
        </w:p>
      </w:tc>
      <w:tc>
        <w:tcPr>
          <w:tcW w:w="851" w:type="dxa"/>
        </w:tcPr>
        <w:p w14:paraId="2F51A916" w14:textId="097FD2D5" w:rsidR="00BD5064" w:rsidRPr="00B3752F" w:rsidRDefault="00316E08" w:rsidP="004213C3">
          <w:pPr>
            <w:pStyle w:val="Footer"/>
            <w:rPr>
              <w:rFonts w:cs="Arial"/>
              <w:b/>
              <w:bCs/>
              <w:sz w:val="20"/>
            </w:rPr>
          </w:pPr>
          <w:r>
            <w:rPr>
              <w:rFonts w:cs="Arial"/>
              <w:b/>
              <w:bCs/>
              <w:sz w:val="20"/>
            </w:rPr>
            <w:t>1</w:t>
          </w:r>
        </w:p>
      </w:tc>
      <w:tc>
        <w:tcPr>
          <w:tcW w:w="1275" w:type="dxa"/>
        </w:tcPr>
        <w:p w14:paraId="2F51A917" w14:textId="5689E8D4" w:rsidR="00BD5064" w:rsidRPr="00B3752F" w:rsidRDefault="00316E08" w:rsidP="004213C3">
          <w:pPr>
            <w:pStyle w:val="Footer"/>
            <w:rPr>
              <w:rFonts w:cs="Arial"/>
              <w:b/>
              <w:bCs/>
              <w:sz w:val="20"/>
            </w:rPr>
          </w:pPr>
          <w:r>
            <w:rPr>
              <w:rFonts w:cs="Arial"/>
              <w:b/>
              <w:bCs/>
              <w:sz w:val="20"/>
            </w:rPr>
            <w:t>18/06/2021</w:t>
          </w:r>
        </w:p>
      </w:tc>
      <w:tc>
        <w:tcPr>
          <w:tcW w:w="1418" w:type="dxa"/>
        </w:tcPr>
        <w:p w14:paraId="2F51A918" w14:textId="0B5B7722" w:rsidR="00BD5064" w:rsidRPr="00B3752F" w:rsidRDefault="00316E08" w:rsidP="004213C3">
          <w:pPr>
            <w:pStyle w:val="Footer"/>
            <w:rPr>
              <w:rFonts w:cs="Arial"/>
              <w:b/>
              <w:bCs/>
              <w:sz w:val="20"/>
            </w:rPr>
          </w:pPr>
          <w:r>
            <w:rPr>
              <w:rFonts w:cs="Arial"/>
              <w:b/>
              <w:bCs/>
              <w:sz w:val="20"/>
            </w:rPr>
            <w:t>01/07/2025</w:t>
          </w:r>
        </w:p>
      </w:tc>
      <w:tc>
        <w:tcPr>
          <w:tcW w:w="2414" w:type="dxa"/>
        </w:tcPr>
        <w:p w14:paraId="2F51A919" w14:textId="1BFBD1FA" w:rsidR="00BD5064" w:rsidRPr="00B3752F" w:rsidRDefault="00316E08" w:rsidP="004213C3">
          <w:pPr>
            <w:pStyle w:val="Footer"/>
            <w:rPr>
              <w:rFonts w:cs="Arial"/>
              <w:b/>
              <w:bCs/>
              <w:sz w:val="20"/>
            </w:rPr>
          </w:pPr>
          <w:r>
            <w:rPr>
              <w:rFonts w:cs="Arial"/>
              <w:b/>
              <w:bCs/>
              <w:sz w:val="20"/>
            </w:rPr>
            <w:t>People &amp; Culture, Employment Relations</w:t>
          </w:r>
        </w:p>
      </w:tc>
      <w:tc>
        <w:tcPr>
          <w:tcW w:w="1836" w:type="dxa"/>
        </w:tcPr>
        <w:p w14:paraId="2F51A91A" w14:textId="77777777" w:rsidR="00BD5064" w:rsidRPr="00B3752F" w:rsidRDefault="00BD5064" w:rsidP="004213C3">
          <w:pPr>
            <w:pStyle w:val="Footer"/>
            <w:rPr>
              <w:sz w:val="20"/>
            </w:rPr>
          </w:pPr>
          <w:r w:rsidRPr="00B3752F">
            <w:rPr>
              <w:rStyle w:val="PageNumber"/>
              <w:sz w:val="20"/>
            </w:rPr>
            <w:fldChar w:fldCharType="begin"/>
          </w:r>
          <w:r w:rsidRPr="00B3752F">
            <w:rPr>
              <w:rStyle w:val="PageNumber"/>
              <w:sz w:val="20"/>
            </w:rPr>
            <w:instrText xml:space="preserve"> PAGE </w:instrText>
          </w:r>
          <w:r w:rsidRPr="00B3752F">
            <w:rPr>
              <w:rStyle w:val="PageNumber"/>
              <w:sz w:val="20"/>
            </w:rPr>
            <w:fldChar w:fldCharType="separate"/>
          </w:r>
          <w:r w:rsidR="009B7D3C">
            <w:rPr>
              <w:rStyle w:val="PageNumber"/>
              <w:noProof/>
              <w:sz w:val="20"/>
            </w:rPr>
            <w:t>6</w:t>
          </w:r>
          <w:r w:rsidRPr="00B3752F">
            <w:rPr>
              <w:rStyle w:val="PageNumber"/>
              <w:sz w:val="20"/>
            </w:rPr>
            <w:fldChar w:fldCharType="end"/>
          </w:r>
          <w:r w:rsidRPr="00B3752F">
            <w:rPr>
              <w:rStyle w:val="PageNumber"/>
              <w:sz w:val="20"/>
            </w:rPr>
            <w:t xml:space="preserve"> of </w:t>
          </w:r>
          <w:r w:rsidRPr="00B3752F">
            <w:rPr>
              <w:rStyle w:val="PageNumber"/>
              <w:sz w:val="20"/>
            </w:rPr>
            <w:fldChar w:fldCharType="begin"/>
          </w:r>
          <w:r w:rsidRPr="00B3752F">
            <w:rPr>
              <w:rStyle w:val="PageNumber"/>
              <w:sz w:val="20"/>
            </w:rPr>
            <w:instrText xml:space="preserve"> NUMPAGES </w:instrText>
          </w:r>
          <w:r w:rsidRPr="00B3752F">
            <w:rPr>
              <w:rStyle w:val="PageNumber"/>
              <w:sz w:val="20"/>
            </w:rPr>
            <w:fldChar w:fldCharType="separate"/>
          </w:r>
          <w:r w:rsidR="009B7D3C">
            <w:rPr>
              <w:rStyle w:val="PageNumber"/>
              <w:noProof/>
              <w:sz w:val="20"/>
            </w:rPr>
            <w:t>8</w:t>
          </w:r>
          <w:r w:rsidRPr="00B3752F">
            <w:rPr>
              <w:rStyle w:val="PageNumber"/>
              <w:sz w:val="20"/>
            </w:rPr>
            <w:fldChar w:fldCharType="end"/>
          </w:r>
        </w:p>
      </w:tc>
    </w:tr>
    <w:tr w:rsidR="00BD5064" w14:paraId="668DA41F" w14:textId="77777777" w:rsidTr="006A1250">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512A806D" w14:textId="713A0083" w:rsidR="00BD5064" w:rsidRPr="002C1428" w:rsidRDefault="00BD5064" w:rsidP="005E1140">
          <w:pPr>
            <w:pStyle w:val="Footer"/>
            <w:jc w:val="center"/>
            <w:rPr>
              <w:rStyle w:val="PageNumber"/>
              <w:sz w:val="16"/>
              <w:szCs w:val="16"/>
            </w:rPr>
          </w:pPr>
          <w:r w:rsidRPr="002C1428">
            <w:rPr>
              <w:sz w:val="16"/>
              <w:szCs w:val="16"/>
            </w:rPr>
            <w:t xml:space="preserve">Do not refer to a paper based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Pr>
              <w:sz w:val="16"/>
              <w:szCs w:val="16"/>
            </w:rPr>
            <w:t>CHS</w:t>
          </w:r>
          <w:r w:rsidRPr="002C1428">
            <w:rPr>
              <w:sz w:val="16"/>
              <w:szCs w:val="16"/>
            </w:rPr>
            <w:t xml:space="preserve"> Policy Register</w:t>
          </w:r>
        </w:p>
      </w:tc>
    </w:tr>
  </w:tbl>
  <w:p w14:paraId="2F51A91D" w14:textId="77777777" w:rsidR="00BD5064" w:rsidRPr="00AE7C5C" w:rsidRDefault="00BD5064" w:rsidP="00CD1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818D9" w14:textId="77777777" w:rsidR="00EF19A2" w:rsidRDefault="00EF19A2" w:rsidP="00F66CB0">
      <w:r>
        <w:separator/>
      </w:r>
    </w:p>
  </w:footnote>
  <w:footnote w:type="continuationSeparator" w:id="0">
    <w:p w14:paraId="02439F6A" w14:textId="77777777" w:rsidR="00EF19A2" w:rsidRDefault="00EF19A2" w:rsidP="00F66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4"/>
      <w:gridCol w:w="3526"/>
    </w:tblGrid>
    <w:tr w:rsidR="00BD5064" w14:paraId="2F51A90C" w14:textId="77777777" w:rsidTr="1EF94004">
      <w:trPr>
        <w:trHeight w:val="1418"/>
      </w:trPr>
      <w:tc>
        <w:tcPr>
          <w:tcW w:w="5556" w:type="dxa"/>
          <w:vAlign w:val="center"/>
          <w:hideMark/>
        </w:tcPr>
        <w:p w14:paraId="2F51A90A" w14:textId="5F72D3B6" w:rsidR="00BD5064" w:rsidRDefault="1EF94004" w:rsidP="0074223E">
          <w:pPr>
            <w:pStyle w:val="Header"/>
            <w:rPr>
              <w:sz w:val="20"/>
            </w:rPr>
          </w:pPr>
          <w:r>
            <w:rPr>
              <w:noProof/>
            </w:rPr>
            <w:drawing>
              <wp:inline distT="0" distB="0" distL="0" distR="0" wp14:anchorId="5330CC0D" wp14:editId="5788CB65">
                <wp:extent cx="3295650" cy="723900"/>
                <wp:effectExtent l="0" t="0" r="0" b="0"/>
                <wp:docPr id="2" name="Picture 2"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295650" cy="723900"/>
                        </a:xfrm>
                        <a:prstGeom prst="rect">
                          <a:avLst/>
                        </a:prstGeom>
                      </pic:spPr>
                    </pic:pic>
                  </a:graphicData>
                </a:graphic>
              </wp:inline>
            </w:drawing>
          </w:r>
        </w:p>
      </w:tc>
      <w:tc>
        <w:tcPr>
          <w:tcW w:w="3730" w:type="dxa"/>
          <w:vAlign w:val="center"/>
          <w:hideMark/>
        </w:tcPr>
        <w:p w14:paraId="2F51A90B" w14:textId="0D0ECAAD" w:rsidR="00BD5064" w:rsidRDefault="00BD5064">
          <w:pPr>
            <w:pStyle w:val="Header"/>
            <w:tabs>
              <w:tab w:val="left" w:pos="720"/>
            </w:tabs>
            <w:jc w:val="right"/>
            <w:rPr>
              <w:sz w:val="20"/>
            </w:rPr>
          </w:pPr>
          <w:bookmarkStart w:id="30" w:name="_top"/>
          <w:bookmarkEnd w:id="30"/>
          <w:r>
            <w:rPr>
              <w:sz w:val="20"/>
            </w:rPr>
            <w:t>CHS</w:t>
          </w:r>
          <w:r w:rsidR="00316E08">
            <w:rPr>
              <w:sz w:val="20"/>
            </w:rPr>
            <w:t>21</w:t>
          </w:r>
          <w:r>
            <w:rPr>
              <w:sz w:val="20"/>
            </w:rPr>
            <w:t>/</w:t>
          </w:r>
          <w:r w:rsidR="00316E08">
            <w:rPr>
              <w:sz w:val="20"/>
            </w:rPr>
            <w:t>371</w:t>
          </w:r>
          <w:r>
            <w:rPr>
              <w:sz w:val="20"/>
            </w:rPr>
            <w:t xml:space="preserve"> </w:t>
          </w:r>
        </w:p>
      </w:tc>
    </w:tr>
  </w:tbl>
  <w:p w14:paraId="2F51A90D" w14:textId="069FBA58" w:rsidR="00BD5064" w:rsidRPr="00FC3538" w:rsidRDefault="00BD5064">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1E6BD60"/>
    <w:lvl w:ilvl="0">
      <w:start w:val="1"/>
      <w:numFmt w:val="bullet"/>
      <w:pStyle w:val="ListBullet"/>
      <w:lvlText w:val=""/>
      <w:lvlJc w:val="left"/>
      <w:pPr>
        <w:tabs>
          <w:tab w:val="num" w:pos="1080"/>
        </w:tabs>
        <w:ind w:left="1080" w:hanging="360"/>
      </w:pPr>
      <w:rPr>
        <w:rFonts w:ascii="Symbol" w:hAnsi="Symbol" w:hint="default"/>
        <w:color w:val="auto"/>
      </w:rPr>
    </w:lvl>
  </w:abstractNum>
  <w:abstractNum w:abstractNumId="1" w15:restartNumberingAfterBreak="0">
    <w:nsid w:val="036F7A16"/>
    <w:multiLevelType w:val="hybridMultilevel"/>
    <w:tmpl w:val="B81EF36C"/>
    <w:lvl w:ilvl="0" w:tplc="0C090001">
      <w:start w:val="1"/>
      <w:numFmt w:val="bullet"/>
      <w:lvlText w:val=""/>
      <w:lvlJc w:val="left"/>
      <w:pPr>
        <w:tabs>
          <w:tab w:val="num" w:pos="7590"/>
        </w:tabs>
        <w:ind w:left="7590" w:hanging="360"/>
      </w:pPr>
      <w:rPr>
        <w:rFonts w:ascii="Symbol" w:hAnsi="Symbol" w:hint="default"/>
      </w:rPr>
    </w:lvl>
    <w:lvl w:ilvl="1" w:tplc="0C090003" w:tentative="1">
      <w:start w:val="1"/>
      <w:numFmt w:val="bullet"/>
      <w:lvlText w:val="o"/>
      <w:lvlJc w:val="left"/>
      <w:pPr>
        <w:ind w:left="8310" w:hanging="360"/>
      </w:pPr>
      <w:rPr>
        <w:rFonts w:ascii="Courier New" w:hAnsi="Courier New" w:hint="default"/>
      </w:rPr>
    </w:lvl>
    <w:lvl w:ilvl="2" w:tplc="0C090005" w:tentative="1">
      <w:start w:val="1"/>
      <w:numFmt w:val="bullet"/>
      <w:lvlText w:val=""/>
      <w:lvlJc w:val="left"/>
      <w:pPr>
        <w:ind w:left="9030" w:hanging="360"/>
      </w:pPr>
      <w:rPr>
        <w:rFonts w:ascii="Wingdings" w:hAnsi="Wingdings" w:hint="default"/>
      </w:rPr>
    </w:lvl>
    <w:lvl w:ilvl="3" w:tplc="0C090001" w:tentative="1">
      <w:start w:val="1"/>
      <w:numFmt w:val="bullet"/>
      <w:lvlText w:val=""/>
      <w:lvlJc w:val="left"/>
      <w:pPr>
        <w:ind w:left="9750" w:hanging="360"/>
      </w:pPr>
      <w:rPr>
        <w:rFonts w:ascii="Symbol" w:hAnsi="Symbol" w:hint="default"/>
      </w:rPr>
    </w:lvl>
    <w:lvl w:ilvl="4" w:tplc="0C090003" w:tentative="1">
      <w:start w:val="1"/>
      <w:numFmt w:val="bullet"/>
      <w:lvlText w:val="o"/>
      <w:lvlJc w:val="left"/>
      <w:pPr>
        <w:ind w:left="10470" w:hanging="360"/>
      </w:pPr>
      <w:rPr>
        <w:rFonts w:ascii="Courier New" w:hAnsi="Courier New" w:hint="default"/>
      </w:rPr>
    </w:lvl>
    <w:lvl w:ilvl="5" w:tplc="0C090005" w:tentative="1">
      <w:start w:val="1"/>
      <w:numFmt w:val="bullet"/>
      <w:lvlText w:val=""/>
      <w:lvlJc w:val="left"/>
      <w:pPr>
        <w:ind w:left="11190" w:hanging="360"/>
      </w:pPr>
      <w:rPr>
        <w:rFonts w:ascii="Wingdings" w:hAnsi="Wingdings" w:hint="default"/>
      </w:rPr>
    </w:lvl>
    <w:lvl w:ilvl="6" w:tplc="0C090001" w:tentative="1">
      <w:start w:val="1"/>
      <w:numFmt w:val="bullet"/>
      <w:lvlText w:val=""/>
      <w:lvlJc w:val="left"/>
      <w:pPr>
        <w:ind w:left="11910" w:hanging="360"/>
      </w:pPr>
      <w:rPr>
        <w:rFonts w:ascii="Symbol" w:hAnsi="Symbol" w:hint="default"/>
      </w:rPr>
    </w:lvl>
    <w:lvl w:ilvl="7" w:tplc="0C090003" w:tentative="1">
      <w:start w:val="1"/>
      <w:numFmt w:val="bullet"/>
      <w:lvlText w:val="o"/>
      <w:lvlJc w:val="left"/>
      <w:pPr>
        <w:ind w:left="12630" w:hanging="360"/>
      </w:pPr>
      <w:rPr>
        <w:rFonts w:ascii="Courier New" w:hAnsi="Courier New" w:hint="default"/>
      </w:rPr>
    </w:lvl>
    <w:lvl w:ilvl="8" w:tplc="0C090005" w:tentative="1">
      <w:start w:val="1"/>
      <w:numFmt w:val="bullet"/>
      <w:lvlText w:val=""/>
      <w:lvlJc w:val="left"/>
      <w:pPr>
        <w:ind w:left="13350" w:hanging="360"/>
      </w:pPr>
      <w:rPr>
        <w:rFonts w:ascii="Wingdings" w:hAnsi="Wingdings" w:hint="default"/>
      </w:rPr>
    </w:lvl>
  </w:abstractNum>
  <w:abstractNum w:abstractNumId="2" w15:restartNumberingAfterBreak="0">
    <w:nsid w:val="0A336E60"/>
    <w:multiLevelType w:val="hybridMultilevel"/>
    <w:tmpl w:val="55A893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050C8F"/>
    <w:multiLevelType w:val="hybridMultilevel"/>
    <w:tmpl w:val="04F4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6D7DF6"/>
    <w:multiLevelType w:val="hybridMultilevel"/>
    <w:tmpl w:val="410CB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0F418A"/>
    <w:multiLevelType w:val="hybridMultilevel"/>
    <w:tmpl w:val="AE6259B2"/>
    <w:lvl w:ilvl="0" w:tplc="5ADC0A42">
      <w:start w:val="1"/>
      <w:numFmt w:val="bullet"/>
      <w:pStyle w:val="Bulletlevel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A00678"/>
    <w:multiLevelType w:val="hybridMultilevel"/>
    <w:tmpl w:val="049C1F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4415591"/>
    <w:multiLevelType w:val="hybridMultilevel"/>
    <w:tmpl w:val="EAF09668"/>
    <w:lvl w:ilvl="0" w:tplc="7DCA2A24">
      <w:start w:val="1"/>
      <w:numFmt w:val="decimal"/>
      <w:lvlText w:val="%1."/>
      <w:lvlJc w:val="left"/>
      <w:pPr>
        <w:ind w:left="720" w:hanging="360"/>
      </w:pPr>
      <w:rPr>
        <w:rFonts w:hint="default"/>
        <w:sz w:val="24"/>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475280"/>
    <w:multiLevelType w:val="hybridMultilevel"/>
    <w:tmpl w:val="60C608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D982C66"/>
    <w:multiLevelType w:val="hybridMultilevel"/>
    <w:tmpl w:val="E6669A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771713"/>
    <w:multiLevelType w:val="hybridMultilevel"/>
    <w:tmpl w:val="DD1AB6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7C45DC8"/>
    <w:multiLevelType w:val="hybridMultilevel"/>
    <w:tmpl w:val="28268A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C5C2D6F"/>
    <w:multiLevelType w:val="hybridMultilevel"/>
    <w:tmpl w:val="5BA66A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815FF8"/>
    <w:multiLevelType w:val="hybridMultilevel"/>
    <w:tmpl w:val="D3CAA554"/>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14" w15:restartNumberingAfterBreak="0">
    <w:nsid w:val="5FA640DB"/>
    <w:multiLevelType w:val="hybridMultilevel"/>
    <w:tmpl w:val="80F246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60F74A7"/>
    <w:multiLevelType w:val="hybridMultilevel"/>
    <w:tmpl w:val="F1002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837006"/>
    <w:multiLevelType w:val="hybridMultilevel"/>
    <w:tmpl w:val="E690A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9D1C4E"/>
    <w:multiLevelType w:val="hybridMultilevel"/>
    <w:tmpl w:val="295886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16"/>
  </w:num>
  <w:num w:numId="4">
    <w:abstractNumId w:val="3"/>
  </w:num>
  <w:num w:numId="5">
    <w:abstractNumId w:val="4"/>
  </w:num>
  <w:num w:numId="6">
    <w:abstractNumId w:val="17"/>
  </w:num>
  <w:num w:numId="7">
    <w:abstractNumId w:val="13"/>
  </w:num>
  <w:num w:numId="8">
    <w:abstractNumId w:val="0"/>
  </w:num>
  <w:num w:numId="9">
    <w:abstractNumId w:val="0"/>
  </w:num>
  <w:num w:numId="10">
    <w:abstractNumId w:val="11"/>
  </w:num>
  <w:num w:numId="11">
    <w:abstractNumId w:val="2"/>
  </w:num>
  <w:num w:numId="12">
    <w:abstractNumId w:val="14"/>
  </w:num>
  <w:num w:numId="13">
    <w:abstractNumId w:val="8"/>
  </w:num>
  <w:num w:numId="14">
    <w:abstractNumId w:val="12"/>
  </w:num>
  <w:num w:numId="15">
    <w:abstractNumId w:val="15"/>
  </w:num>
  <w:num w:numId="16">
    <w:abstractNumId w:val="6"/>
  </w:num>
  <w:num w:numId="17">
    <w:abstractNumId w:val="5"/>
  </w:num>
  <w:num w:numId="18">
    <w:abstractNumId w:val="7"/>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04"/>
    <w:rsid w:val="000121C3"/>
    <w:rsid w:val="00015B90"/>
    <w:rsid w:val="0001607A"/>
    <w:rsid w:val="00023C65"/>
    <w:rsid w:val="00091AC9"/>
    <w:rsid w:val="00095ECD"/>
    <w:rsid w:val="000A7335"/>
    <w:rsid w:val="000B1620"/>
    <w:rsid w:val="000B5C8C"/>
    <w:rsid w:val="000B71ED"/>
    <w:rsid w:val="000C59E2"/>
    <w:rsid w:val="000C7B2D"/>
    <w:rsid w:val="000F7B7E"/>
    <w:rsid w:val="00102B1F"/>
    <w:rsid w:val="00103EEA"/>
    <w:rsid w:val="00106300"/>
    <w:rsid w:val="001115D7"/>
    <w:rsid w:val="00121E46"/>
    <w:rsid w:val="001252EC"/>
    <w:rsid w:val="00126AED"/>
    <w:rsid w:val="00177399"/>
    <w:rsid w:val="00191109"/>
    <w:rsid w:val="00191235"/>
    <w:rsid w:val="001926F4"/>
    <w:rsid w:val="001A0053"/>
    <w:rsid w:val="001B2465"/>
    <w:rsid w:val="001B3435"/>
    <w:rsid w:val="001D146F"/>
    <w:rsid w:val="001F2A9B"/>
    <w:rsid w:val="001F4113"/>
    <w:rsid w:val="001F6D2D"/>
    <w:rsid w:val="00200D04"/>
    <w:rsid w:val="00201FB6"/>
    <w:rsid w:val="00203F27"/>
    <w:rsid w:val="002405CF"/>
    <w:rsid w:val="00240B97"/>
    <w:rsid w:val="0025382D"/>
    <w:rsid w:val="00261F21"/>
    <w:rsid w:val="00263BA6"/>
    <w:rsid w:val="0027264D"/>
    <w:rsid w:val="00277FB5"/>
    <w:rsid w:val="00285D38"/>
    <w:rsid w:val="0029111D"/>
    <w:rsid w:val="00293E43"/>
    <w:rsid w:val="00297D1A"/>
    <w:rsid w:val="002B5F43"/>
    <w:rsid w:val="002D59FF"/>
    <w:rsid w:val="002E5164"/>
    <w:rsid w:val="00313707"/>
    <w:rsid w:val="00316E08"/>
    <w:rsid w:val="0032270B"/>
    <w:rsid w:val="00337CAC"/>
    <w:rsid w:val="00337E7C"/>
    <w:rsid w:val="00340D67"/>
    <w:rsid w:val="003458D4"/>
    <w:rsid w:val="00351CD9"/>
    <w:rsid w:val="00353CBB"/>
    <w:rsid w:val="00364D38"/>
    <w:rsid w:val="00366924"/>
    <w:rsid w:val="00371656"/>
    <w:rsid w:val="00376A6D"/>
    <w:rsid w:val="00380B98"/>
    <w:rsid w:val="00385763"/>
    <w:rsid w:val="00395E36"/>
    <w:rsid w:val="00396023"/>
    <w:rsid w:val="003A64A9"/>
    <w:rsid w:val="003C08EF"/>
    <w:rsid w:val="003C204E"/>
    <w:rsid w:val="003C4BB5"/>
    <w:rsid w:val="003E4CC0"/>
    <w:rsid w:val="003F3D8F"/>
    <w:rsid w:val="00410409"/>
    <w:rsid w:val="00412B1E"/>
    <w:rsid w:val="00412CED"/>
    <w:rsid w:val="00416751"/>
    <w:rsid w:val="00420F9E"/>
    <w:rsid w:val="004213C3"/>
    <w:rsid w:val="0042413C"/>
    <w:rsid w:val="00427139"/>
    <w:rsid w:val="00431A1C"/>
    <w:rsid w:val="004358E9"/>
    <w:rsid w:val="00447D29"/>
    <w:rsid w:val="004537B3"/>
    <w:rsid w:val="00461E2D"/>
    <w:rsid w:val="004714BC"/>
    <w:rsid w:val="0048050C"/>
    <w:rsid w:val="00487DD5"/>
    <w:rsid w:val="004947A7"/>
    <w:rsid w:val="004A2E02"/>
    <w:rsid w:val="004B7C43"/>
    <w:rsid w:val="004C2B20"/>
    <w:rsid w:val="004D49DA"/>
    <w:rsid w:val="004D6932"/>
    <w:rsid w:val="004E28AD"/>
    <w:rsid w:val="004E6FBD"/>
    <w:rsid w:val="004F0F49"/>
    <w:rsid w:val="004F1D05"/>
    <w:rsid w:val="004F2008"/>
    <w:rsid w:val="004F2022"/>
    <w:rsid w:val="00505B5D"/>
    <w:rsid w:val="005067CA"/>
    <w:rsid w:val="0052443C"/>
    <w:rsid w:val="0052775E"/>
    <w:rsid w:val="005416F0"/>
    <w:rsid w:val="00542514"/>
    <w:rsid w:val="00546AED"/>
    <w:rsid w:val="005512EF"/>
    <w:rsid w:val="005621E4"/>
    <w:rsid w:val="00590902"/>
    <w:rsid w:val="00592A14"/>
    <w:rsid w:val="00596FD7"/>
    <w:rsid w:val="005A3625"/>
    <w:rsid w:val="005B4738"/>
    <w:rsid w:val="005C212D"/>
    <w:rsid w:val="005C3CB0"/>
    <w:rsid w:val="005E0D6C"/>
    <w:rsid w:val="005E1140"/>
    <w:rsid w:val="005F3214"/>
    <w:rsid w:val="00612231"/>
    <w:rsid w:val="00623BED"/>
    <w:rsid w:val="00635A03"/>
    <w:rsid w:val="00635EB1"/>
    <w:rsid w:val="006473BB"/>
    <w:rsid w:val="0066495D"/>
    <w:rsid w:val="00690A68"/>
    <w:rsid w:val="0069279E"/>
    <w:rsid w:val="00695EB6"/>
    <w:rsid w:val="00696C00"/>
    <w:rsid w:val="006A1250"/>
    <w:rsid w:val="006A3770"/>
    <w:rsid w:val="006A4D46"/>
    <w:rsid w:val="006A6024"/>
    <w:rsid w:val="006C31FF"/>
    <w:rsid w:val="006C6256"/>
    <w:rsid w:val="006C6B6C"/>
    <w:rsid w:val="006C704D"/>
    <w:rsid w:val="006D31A2"/>
    <w:rsid w:val="006F55F3"/>
    <w:rsid w:val="00702068"/>
    <w:rsid w:val="0070331D"/>
    <w:rsid w:val="007052B1"/>
    <w:rsid w:val="00711BF4"/>
    <w:rsid w:val="007220C1"/>
    <w:rsid w:val="00740698"/>
    <w:rsid w:val="00741B43"/>
    <w:rsid w:val="0074223E"/>
    <w:rsid w:val="00747DCF"/>
    <w:rsid w:val="007543AC"/>
    <w:rsid w:val="00756537"/>
    <w:rsid w:val="00756A2B"/>
    <w:rsid w:val="007947FF"/>
    <w:rsid w:val="0079660C"/>
    <w:rsid w:val="007A0EBC"/>
    <w:rsid w:val="007B27F1"/>
    <w:rsid w:val="007B4ABB"/>
    <w:rsid w:val="007B6904"/>
    <w:rsid w:val="007B7628"/>
    <w:rsid w:val="007C36E4"/>
    <w:rsid w:val="007C3FB8"/>
    <w:rsid w:val="007E5FF1"/>
    <w:rsid w:val="00816782"/>
    <w:rsid w:val="0082141D"/>
    <w:rsid w:val="00827F24"/>
    <w:rsid w:val="008318E4"/>
    <w:rsid w:val="00834885"/>
    <w:rsid w:val="00845445"/>
    <w:rsid w:val="00853D0E"/>
    <w:rsid w:val="00855DA8"/>
    <w:rsid w:val="00886399"/>
    <w:rsid w:val="008974CA"/>
    <w:rsid w:val="008B45F5"/>
    <w:rsid w:val="008D204F"/>
    <w:rsid w:val="008E1F7F"/>
    <w:rsid w:val="008E49BA"/>
    <w:rsid w:val="008F00E8"/>
    <w:rsid w:val="008F366E"/>
    <w:rsid w:val="00906142"/>
    <w:rsid w:val="00931B93"/>
    <w:rsid w:val="00933EED"/>
    <w:rsid w:val="00940CDE"/>
    <w:rsid w:val="00955407"/>
    <w:rsid w:val="00962C46"/>
    <w:rsid w:val="0097742A"/>
    <w:rsid w:val="0097744F"/>
    <w:rsid w:val="00980EED"/>
    <w:rsid w:val="00991670"/>
    <w:rsid w:val="0099341B"/>
    <w:rsid w:val="009B4175"/>
    <w:rsid w:val="009B6C8C"/>
    <w:rsid w:val="009B72B1"/>
    <w:rsid w:val="009B7D3C"/>
    <w:rsid w:val="009C0FCA"/>
    <w:rsid w:val="009C3963"/>
    <w:rsid w:val="009D323C"/>
    <w:rsid w:val="009D5C1E"/>
    <w:rsid w:val="009D6E8F"/>
    <w:rsid w:val="009E70F4"/>
    <w:rsid w:val="009F5530"/>
    <w:rsid w:val="00A03DDB"/>
    <w:rsid w:val="00A16E0F"/>
    <w:rsid w:val="00A35E2D"/>
    <w:rsid w:val="00A54CB3"/>
    <w:rsid w:val="00A74B8A"/>
    <w:rsid w:val="00A85F61"/>
    <w:rsid w:val="00A86DB3"/>
    <w:rsid w:val="00A92E4F"/>
    <w:rsid w:val="00A95BBB"/>
    <w:rsid w:val="00AA25DC"/>
    <w:rsid w:val="00AA7216"/>
    <w:rsid w:val="00AB50DD"/>
    <w:rsid w:val="00AC1626"/>
    <w:rsid w:val="00AC4375"/>
    <w:rsid w:val="00AC7025"/>
    <w:rsid w:val="00AD196F"/>
    <w:rsid w:val="00AD3CCE"/>
    <w:rsid w:val="00B07A46"/>
    <w:rsid w:val="00B07DCE"/>
    <w:rsid w:val="00B12123"/>
    <w:rsid w:val="00B21043"/>
    <w:rsid w:val="00B42EA0"/>
    <w:rsid w:val="00B44CAC"/>
    <w:rsid w:val="00B51D23"/>
    <w:rsid w:val="00B573D6"/>
    <w:rsid w:val="00B66B98"/>
    <w:rsid w:val="00B73E65"/>
    <w:rsid w:val="00B758BF"/>
    <w:rsid w:val="00B81455"/>
    <w:rsid w:val="00B8608E"/>
    <w:rsid w:val="00B9627F"/>
    <w:rsid w:val="00BA2415"/>
    <w:rsid w:val="00BA4DB2"/>
    <w:rsid w:val="00BA4F95"/>
    <w:rsid w:val="00BB1D37"/>
    <w:rsid w:val="00BB33F9"/>
    <w:rsid w:val="00BC3CE6"/>
    <w:rsid w:val="00BD5064"/>
    <w:rsid w:val="00BE5E41"/>
    <w:rsid w:val="00BF078E"/>
    <w:rsid w:val="00BF19D0"/>
    <w:rsid w:val="00C01E54"/>
    <w:rsid w:val="00C24EDC"/>
    <w:rsid w:val="00C25A76"/>
    <w:rsid w:val="00C31EB3"/>
    <w:rsid w:val="00C32206"/>
    <w:rsid w:val="00C3559A"/>
    <w:rsid w:val="00C422C8"/>
    <w:rsid w:val="00C45C67"/>
    <w:rsid w:val="00C47091"/>
    <w:rsid w:val="00C523FF"/>
    <w:rsid w:val="00C66A9E"/>
    <w:rsid w:val="00C71C3C"/>
    <w:rsid w:val="00C76998"/>
    <w:rsid w:val="00C93E83"/>
    <w:rsid w:val="00CA593D"/>
    <w:rsid w:val="00CC5D11"/>
    <w:rsid w:val="00CD1505"/>
    <w:rsid w:val="00CD6A44"/>
    <w:rsid w:val="00CE1312"/>
    <w:rsid w:val="00CF32B1"/>
    <w:rsid w:val="00D00325"/>
    <w:rsid w:val="00D04F05"/>
    <w:rsid w:val="00D21780"/>
    <w:rsid w:val="00D23346"/>
    <w:rsid w:val="00D243B8"/>
    <w:rsid w:val="00D34794"/>
    <w:rsid w:val="00D35C3A"/>
    <w:rsid w:val="00D4502D"/>
    <w:rsid w:val="00D5209F"/>
    <w:rsid w:val="00D530CE"/>
    <w:rsid w:val="00D53E3C"/>
    <w:rsid w:val="00D77950"/>
    <w:rsid w:val="00DC3762"/>
    <w:rsid w:val="00DC5C47"/>
    <w:rsid w:val="00DD616A"/>
    <w:rsid w:val="00DE0465"/>
    <w:rsid w:val="00DE4E25"/>
    <w:rsid w:val="00E049ED"/>
    <w:rsid w:val="00E17A3D"/>
    <w:rsid w:val="00E20B1B"/>
    <w:rsid w:val="00E34E6D"/>
    <w:rsid w:val="00E37CD4"/>
    <w:rsid w:val="00E47067"/>
    <w:rsid w:val="00E57848"/>
    <w:rsid w:val="00E73459"/>
    <w:rsid w:val="00E750BF"/>
    <w:rsid w:val="00E75A38"/>
    <w:rsid w:val="00E90708"/>
    <w:rsid w:val="00E9759B"/>
    <w:rsid w:val="00EB7C79"/>
    <w:rsid w:val="00ED21C3"/>
    <w:rsid w:val="00ED388C"/>
    <w:rsid w:val="00ED46C3"/>
    <w:rsid w:val="00EF02B0"/>
    <w:rsid w:val="00EF13A4"/>
    <w:rsid w:val="00EF19A2"/>
    <w:rsid w:val="00EF471D"/>
    <w:rsid w:val="00F01B61"/>
    <w:rsid w:val="00F11338"/>
    <w:rsid w:val="00F13772"/>
    <w:rsid w:val="00F13AE5"/>
    <w:rsid w:val="00F149FD"/>
    <w:rsid w:val="00F14EC1"/>
    <w:rsid w:val="00F4262F"/>
    <w:rsid w:val="00F502E2"/>
    <w:rsid w:val="00F53719"/>
    <w:rsid w:val="00F556C0"/>
    <w:rsid w:val="00F57291"/>
    <w:rsid w:val="00F573D4"/>
    <w:rsid w:val="00F66CB0"/>
    <w:rsid w:val="00F76C89"/>
    <w:rsid w:val="00F9158A"/>
    <w:rsid w:val="00FA29B8"/>
    <w:rsid w:val="00FB60F3"/>
    <w:rsid w:val="00FC0DC5"/>
    <w:rsid w:val="00FC7CBC"/>
    <w:rsid w:val="00FD3D92"/>
    <w:rsid w:val="00FF56DD"/>
    <w:rsid w:val="1EF940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51A84E"/>
  <w15:docId w15:val="{8C341B6C-4682-4F69-B467-0B456AA4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053"/>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7052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04"/>
    <w:rPr>
      <w:rFonts w:ascii="Calibri" w:eastAsia="Times New Roman" w:hAnsi="Calibri" w:cs="Arial"/>
      <w:b/>
      <w:iCs/>
      <w:sz w:val="28"/>
      <w:szCs w:val="20"/>
    </w:rPr>
  </w:style>
  <w:style w:type="table" w:styleId="TableGrid">
    <w:name w:val="Table Grid"/>
    <w:basedOn w:val="TableNormal"/>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rsid w:val="007B6904"/>
    <w:pPr>
      <w:tabs>
        <w:tab w:val="center" w:pos="4153"/>
        <w:tab w:val="right" w:pos="8306"/>
      </w:tabs>
    </w:pPr>
  </w:style>
  <w:style w:type="character" w:customStyle="1" w:styleId="HeaderChar">
    <w:name w:val="Header Char"/>
    <w:basedOn w:val="DefaultParagraphFont"/>
    <w:link w:val="Header"/>
    <w:rsid w:val="007B6904"/>
    <w:rPr>
      <w:rFonts w:ascii="Times New Roman" w:eastAsia="Times New Roman" w:hAnsi="Times New Roman" w:cs="Times New Roman"/>
      <w:sz w:val="24"/>
      <w:szCs w:val="20"/>
    </w:rPr>
  </w:style>
  <w:style w:type="paragraph" w:styleId="ListParagraph">
    <w:name w:val="List Paragraph"/>
    <w:basedOn w:val="Normal"/>
    <w:uiPriority w:val="34"/>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F14EC1"/>
    <w:pPr>
      <w:numPr>
        <w:numId w:val="1"/>
      </w:numPr>
      <w:tabs>
        <w:tab w:val="clear" w:pos="1080"/>
      </w:tabs>
      <w:ind w:left="426" w:hanging="426"/>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7B6904"/>
    <w:pPr>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customStyle="1" w:styleId="Heading3Char">
    <w:name w:val="Heading 3 Char"/>
    <w:basedOn w:val="DefaultParagraphFont"/>
    <w:link w:val="Heading3"/>
    <w:uiPriority w:val="9"/>
    <w:semiHidden/>
    <w:rsid w:val="007052B1"/>
    <w:rPr>
      <w:rFonts w:asciiTheme="majorHAnsi" w:eastAsiaTheme="majorEastAsia" w:hAnsiTheme="majorHAnsi" w:cstheme="majorBidi"/>
      <w:b/>
      <w:bCs/>
      <w:color w:val="4F81BD" w:themeColor="accent1"/>
      <w:sz w:val="24"/>
      <w:szCs w:val="20"/>
    </w:rPr>
  </w:style>
  <w:style w:type="character" w:styleId="CommentReference">
    <w:name w:val="annotation reference"/>
    <w:basedOn w:val="DefaultParagraphFont"/>
    <w:uiPriority w:val="99"/>
    <w:semiHidden/>
    <w:unhideWhenUsed/>
    <w:rsid w:val="00CC5D11"/>
    <w:rPr>
      <w:sz w:val="16"/>
      <w:szCs w:val="16"/>
    </w:rPr>
  </w:style>
  <w:style w:type="paragraph" w:styleId="CommentText">
    <w:name w:val="annotation text"/>
    <w:basedOn w:val="Normal"/>
    <w:link w:val="CommentTextChar"/>
    <w:uiPriority w:val="99"/>
    <w:semiHidden/>
    <w:unhideWhenUsed/>
    <w:rsid w:val="00CC5D11"/>
    <w:rPr>
      <w:sz w:val="20"/>
    </w:rPr>
  </w:style>
  <w:style w:type="character" w:customStyle="1" w:styleId="CommentTextChar">
    <w:name w:val="Comment Text Char"/>
    <w:basedOn w:val="DefaultParagraphFont"/>
    <w:link w:val="CommentText"/>
    <w:uiPriority w:val="99"/>
    <w:semiHidden/>
    <w:rsid w:val="00CC5D1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5D11"/>
    <w:rPr>
      <w:b/>
      <w:bCs/>
    </w:rPr>
  </w:style>
  <w:style w:type="character" w:customStyle="1" w:styleId="CommentSubjectChar">
    <w:name w:val="Comment Subject Char"/>
    <w:basedOn w:val="CommentTextChar"/>
    <w:link w:val="CommentSubject"/>
    <w:uiPriority w:val="99"/>
    <w:semiHidden/>
    <w:rsid w:val="00CC5D11"/>
    <w:rPr>
      <w:rFonts w:ascii="Calibri" w:eastAsia="Times New Roman" w:hAnsi="Calibri" w:cs="Times New Roman"/>
      <w:b/>
      <w:bCs/>
      <w:sz w:val="20"/>
      <w:szCs w:val="20"/>
    </w:rPr>
  </w:style>
  <w:style w:type="paragraph" w:customStyle="1" w:styleId="Bulletlevel1">
    <w:name w:val="Bullet level 1"/>
    <w:basedOn w:val="BodyText"/>
    <w:qFormat/>
    <w:rsid w:val="006A1250"/>
    <w:pPr>
      <w:numPr>
        <w:numId w:val="17"/>
      </w:numPr>
      <w:tabs>
        <w:tab w:val="left" w:pos="284"/>
        <w:tab w:val="num" w:pos="1080"/>
      </w:tabs>
      <w:spacing w:before="60"/>
      <w:ind w:left="284" w:hanging="284"/>
    </w:pPr>
    <w:rPr>
      <w:rFonts w:cs="Arial"/>
      <w:bCs/>
      <w:iCs/>
      <w:color w:val="323232"/>
      <w:szCs w:val="24"/>
      <w:lang w:eastAsia="en-AU"/>
    </w:rPr>
  </w:style>
  <w:style w:type="paragraph" w:styleId="BodyText">
    <w:name w:val="Body Text"/>
    <w:basedOn w:val="Normal"/>
    <w:link w:val="BodyTextChar"/>
    <w:uiPriority w:val="99"/>
    <w:semiHidden/>
    <w:unhideWhenUsed/>
    <w:rsid w:val="006A1250"/>
    <w:pPr>
      <w:spacing w:after="120"/>
    </w:pPr>
  </w:style>
  <w:style w:type="character" w:customStyle="1" w:styleId="BodyTextChar">
    <w:name w:val="Body Text Char"/>
    <w:basedOn w:val="DefaultParagraphFont"/>
    <w:link w:val="BodyText"/>
    <w:uiPriority w:val="99"/>
    <w:semiHidden/>
    <w:rsid w:val="006A1250"/>
    <w:rPr>
      <w:rFonts w:ascii="Calibri" w:eastAsia="Times New Roman" w:hAnsi="Calibri" w:cs="Times New Roman"/>
      <w:sz w:val="24"/>
      <w:szCs w:val="20"/>
    </w:rPr>
  </w:style>
  <w:style w:type="character" w:customStyle="1" w:styleId="UnresolvedMention1">
    <w:name w:val="Unresolved Mention1"/>
    <w:basedOn w:val="DefaultParagraphFont"/>
    <w:uiPriority w:val="99"/>
    <w:semiHidden/>
    <w:unhideWhenUsed/>
    <w:rsid w:val="008E4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18516">
      <w:bodyDiv w:val="1"/>
      <w:marLeft w:val="0"/>
      <w:marRight w:val="0"/>
      <w:marTop w:val="0"/>
      <w:marBottom w:val="0"/>
      <w:divBdr>
        <w:top w:val="none" w:sz="0" w:space="0" w:color="auto"/>
        <w:left w:val="none" w:sz="0" w:space="0" w:color="auto"/>
        <w:bottom w:val="none" w:sz="0" w:space="0" w:color="auto"/>
        <w:right w:val="none" w:sz="0" w:space="0" w:color="auto"/>
      </w:divBdr>
    </w:div>
    <w:div w:id="295840635">
      <w:bodyDiv w:val="1"/>
      <w:marLeft w:val="0"/>
      <w:marRight w:val="0"/>
      <w:marTop w:val="0"/>
      <w:marBottom w:val="0"/>
      <w:divBdr>
        <w:top w:val="none" w:sz="0" w:space="0" w:color="auto"/>
        <w:left w:val="none" w:sz="0" w:space="0" w:color="auto"/>
        <w:bottom w:val="none" w:sz="0" w:space="0" w:color="auto"/>
        <w:right w:val="none" w:sz="0" w:space="0" w:color="auto"/>
      </w:divBdr>
    </w:div>
    <w:div w:id="977686959">
      <w:bodyDiv w:val="1"/>
      <w:marLeft w:val="0"/>
      <w:marRight w:val="0"/>
      <w:marTop w:val="0"/>
      <w:marBottom w:val="0"/>
      <w:divBdr>
        <w:top w:val="none" w:sz="0" w:space="0" w:color="auto"/>
        <w:left w:val="none" w:sz="0" w:space="0" w:color="auto"/>
        <w:bottom w:val="none" w:sz="0" w:space="0" w:color="auto"/>
        <w:right w:val="none" w:sz="0" w:space="0" w:color="auto"/>
      </w:divBdr>
    </w:div>
    <w:div w:id="993216866">
      <w:bodyDiv w:val="1"/>
      <w:marLeft w:val="0"/>
      <w:marRight w:val="0"/>
      <w:marTop w:val="0"/>
      <w:marBottom w:val="0"/>
      <w:divBdr>
        <w:top w:val="none" w:sz="0" w:space="0" w:color="auto"/>
        <w:left w:val="none" w:sz="0" w:space="0" w:color="auto"/>
        <w:bottom w:val="none" w:sz="0" w:space="0" w:color="auto"/>
        <w:right w:val="none" w:sz="0" w:space="0" w:color="auto"/>
      </w:divBdr>
    </w:div>
    <w:div w:id="997465457">
      <w:bodyDiv w:val="1"/>
      <w:marLeft w:val="0"/>
      <w:marRight w:val="0"/>
      <w:marTop w:val="0"/>
      <w:marBottom w:val="0"/>
      <w:divBdr>
        <w:top w:val="none" w:sz="0" w:space="0" w:color="auto"/>
        <w:left w:val="none" w:sz="0" w:space="0" w:color="auto"/>
        <w:bottom w:val="none" w:sz="0" w:space="0" w:color="auto"/>
        <w:right w:val="none" w:sz="0" w:space="0" w:color="auto"/>
      </w:divBdr>
    </w:div>
    <w:div w:id="1030256552">
      <w:bodyDiv w:val="1"/>
      <w:marLeft w:val="0"/>
      <w:marRight w:val="0"/>
      <w:marTop w:val="0"/>
      <w:marBottom w:val="0"/>
      <w:divBdr>
        <w:top w:val="none" w:sz="0" w:space="0" w:color="auto"/>
        <w:left w:val="none" w:sz="0" w:space="0" w:color="auto"/>
        <w:bottom w:val="none" w:sz="0" w:space="0" w:color="auto"/>
        <w:right w:val="none" w:sz="0" w:space="0" w:color="auto"/>
      </w:divBdr>
    </w:div>
    <w:div w:id="1479807023">
      <w:bodyDiv w:val="1"/>
      <w:marLeft w:val="0"/>
      <w:marRight w:val="0"/>
      <w:marTop w:val="0"/>
      <w:marBottom w:val="0"/>
      <w:divBdr>
        <w:top w:val="none" w:sz="0" w:space="0" w:color="auto"/>
        <w:left w:val="none" w:sz="0" w:space="0" w:color="auto"/>
        <w:bottom w:val="none" w:sz="0" w:space="0" w:color="auto"/>
        <w:right w:val="none" w:sz="0" w:space="0" w:color="auto"/>
      </w:divBdr>
    </w:div>
    <w:div w:id="1931543213">
      <w:bodyDiv w:val="1"/>
      <w:marLeft w:val="0"/>
      <w:marRight w:val="0"/>
      <w:marTop w:val="0"/>
      <w:marBottom w:val="0"/>
      <w:divBdr>
        <w:top w:val="none" w:sz="0" w:space="0" w:color="auto"/>
        <w:left w:val="none" w:sz="0" w:space="0" w:color="auto"/>
        <w:bottom w:val="none" w:sz="0" w:space="0" w:color="auto"/>
        <w:right w:val="none" w:sz="0" w:space="0" w:color="auto"/>
      </w:divBdr>
    </w:div>
    <w:div w:id="1991328734">
      <w:bodyDiv w:val="1"/>
      <w:marLeft w:val="0"/>
      <w:marRight w:val="0"/>
      <w:marTop w:val="0"/>
      <w:marBottom w:val="0"/>
      <w:divBdr>
        <w:top w:val="none" w:sz="0" w:space="0" w:color="auto"/>
        <w:left w:val="none" w:sz="0" w:space="0" w:color="auto"/>
        <w:bottom w:val="none" w:sz="0" w:space="0" w:color="auto"/>
        <w:right w:val="none" w:sz="0" w:space="0" w:color="auto"/>
      </w:divBdr>
    </w:div>
    <w:div w:id="203830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tss.service-now.com/sharedservices/?id=knwl_article&amp;sys_id=cef50ac9db035c5061402db6149619a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althhub.act.gov.au/employment-resources/employee-services/hr-for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cision_x0020_Number xmlns="690b2128-8961-48af-a473-22c34a9accba">CHS21/371</Decision_x0020_Number>
    <Description0 xmlns="690b2128-8961-48af-a473-22c34a9accba">This procedure also aims to ensure that, when specialists and senior specialists  flexible working arrangements, there is no conflict of interest for those undertaking work outside of their employment with Canberra Health Services (CHS).  </Description0>
    <Display_x0020_on_x0020_Internet xmlns="690b2128-8961-48af-a473-22c34a9accba">true</Display_x0020_on_x0020_Internet>
    <Review_x0020_Date xmlns="690b2128-8961-48af-a473-22c34a9accba">2025-06-30T14:00:00+00:00</Review_x0020_Date>
    <Approval_x0020_Name_x007c_Committee xmlns="690b2128-8961-48af-a473-22c34a9accba">CHS Policy Committee</Approval_x0020_Name_x007c_Committee>
    <Risk_x0020_Rating xmlns="690b2128-8961-48af-a473-22c34a9accba">Medium</Risk_x0020_Rating>
    <Related_x0020_Documents xmlns="690b2128-8961-48af-a473-22c34a9accba" xsi:nil="true"/>
    <Replaces_x003a_ xmlns="690b2128-8961-48af-a473-22c34a9accba">CHHS14/020 Flexible Working Arrangements – Specialists and Senior Specialists</Replaces_x003a_>
    <Progress xmlns="690b2128-8961-48af-a473-22c34a9accba" xsi:nil="true"/>
    <TaxCatchAll xmlns="c0239a80-7f07-4ed7-82c3-24ad7d76ada5" xsi:nil="true"/>
    <Key_x0020_Words xmlns="690b2128-8961-48af-a473-22c34a9accba">Flexible Working Arrangements, Specialists and Senior Specialists, Senior Medical Practitioners, work life balance, Medical Practitioners Enterprise Agreement 2017-2021, process, application, private practice.</Key_x0020_Words>
    <Type_x0020_of_x0020_Document xmlns="690b2128-8961-48af-a473-22c34a9accba">Procedure</Type_x0020_of_x0020_Document>
    <Version_x0020_Number xmlns="690b2128-8961-48af-a473-22c34a9accba">1</Version_x0020_Number>
    <Approval_x0020_Date xmlns="690b2128-8961-48af-a473-22c34a9accba">2021-06-16T14:00:00+00:00</Approval_x0020_Date>
    <Notes0 xmlns="690b2128-8961-48af-a473-22c34a9accba" xsi:nil="true"/>
    <New_x0020_Applies_x0020_To xmlns="690b2128-8961-48af-a473-22c34a9accba">Canberra Health Services</New_x0020_Applies_x0020_To>
    <New_x0020_Owner xmlns="690b2128-8961-48af-a473-22c34a9accba">People and Culture - Workforce Relations</New_x0020_Owner>
    <Status xmlns="690b2128-8961-48af-a473-22c34a9accba">Approved</Statu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46B23B19A8774893278BE755DCE152" ma:contentTypeVersion="47" ma:contentTypeDescription="Create a new document." ma:contentTypeScope="" ma:versionID="74bfe9f5904df3f97b26148cbe47d4a0">
  <xsd:schema xmlns:xsd="http://www.w3.org/2001/XMLSchema" xmlns:xs="http://www.w3.org/2001/XMLSchema" xmlns:p="http://schemas.microsoft.com/office/2006/metadata/properties" xmlns:ns2="690b2128-8961-48af-a473-22c34a9accba" xmlns:ns3="c0239a80-7f07-4ed7-82c3-24ad7d76ada5" targetNamespace="http://schemas.microsoft.com/office/2006/metadata/properties" ma:root="true" ma:fieldsID="aa3727d4be4d2d3c897992f6faae974d" ns2:_="" ns3:_="">
    <xsd:import namespace="690b2128-8961-48af-a473-22c34a9accba"/>
    <xsd:import namespace="c0239a80-7f07-4ed7-82c3-24ad7d76ada5"/>
    <xsd:element name="properties">
      <xsd:complexType>
        <xsd:sequence>
          <xsd:element name="documentManagement">
            <xsd:complexType>
              <xsd:all>
                <xsd:element ref="ns2:Description0" minOccurs="0"/>
                <xsd:element ref="ns2:Key_x0020_Words" minOccurs="0"/>
                <xsd:element ref="ns2:Decision_x0020_Number"/>
                <xsd:element ref="ns2:Version_x0020_Number" minOccurs="0"/>
                <xsd:element ref="ns2:Review_x0020_Date" minOccurs="0"/>
                <xsd:element ref="ns2:Status" minOccurs="0"/>
                <xsd:element ref="ns2:New_x0020_Applies_x0020_To" minOccurs="0"/>
                <xsd:element ref="ns2:New_x0020_Owner"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b2128-8961-48af-a473-22c34a9accba"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nillable="true" ma:displayName="Status" ma:format="RadioButtons" ma:internalName="Status" ma:readOnly="false">
      <xsd:simpleType>
        <xsd:union memberTypes="dms:Text">
          <xsd:simpleType>
            <xsd:restriction base="dms:Choice">
              <xsd:enumeration value="Approved"/>
              <xsd:enumeration value="Due for Review"/>
              <xsd:enumeration value="Overdue for Review"/>
              <xsd:enumeration value="Draft"/>
            </xsd:restriction>
          </xsd:simpleType>
        </xsd:union>
      </xsd:simpleType>
    </xsd:element>
    <xsd:element name="New_x0020_Applies_x0020_To" ma:index="8" nillable="true" ma:displayName="Applies To" ma:format="Dropdown" ma:internalName="New_x0020_Applies_x0020_To" ma:readOnly="false">
      <xsd:simpleType>
        <xsd:union memberTypes="dms:Text">
          <xsd:simpleType>
            <xsd:restriction base="dms:Choice">
              <xsd:enumeration value="Canberra Health Services"/>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Type_x0020_of_x0020_Document" ma:index="10" nillable="true" ma:displayName="Type of Document" ma:format="Dropdown" ma:internalName="Type_x0020_of_x0020_Document" ma:readOnly="false">
      <xsd:simpleType>
        <xsd:union memberTypes="dms:Text">
          <xsd:simpleType>
            <xsd:restriction base="dms:Choice">
              <xsd:enumeration value="ACT Government"/>
              <xsd:enumeration value="Health Information Sheet"/>
              <xsd:enumeration value="Framework"/>
              <xsd:enumeration value="Guideline"/>
              <xsd:enumeration value="Manual"/>
              <xsd:enumeration value="Medication Guideline"/>
              <xsd:enumeration value="Medication Standing Order (MSO)"/>
              <xsd:enumeration value="Placeholder"/>
              <xsd:enumeration value="Plan"/>
              <xsd:enumeration value="Policy"/>
              <xsd:enumeration value="Procedure"/>
              <xsd:enumeration value="Strategy"/>
            </xsd:restriction>
          </xsd:simpleType>
        </xsd:union>
      </xsd:simpleType>
    </xsd:element>
    <xsd:element name="Related_x0020_Documents" ma:index="11" nillable="true" ma:displayName="Related Documents" ma:list="{690b2128-8961-48af-a473-22c34a9accba}"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2" nillable="true" ma:displayName="Approval Name|Committee" ma:internalName="Approval_x0020_Name_x007c_Committee" ma:readOnly="false">
      <xsd:simpleType>
        <xsd:restriction base="dms:Text">
          <xsd:maxLength value="255"/>
        </xsd:restriction>
      </xsd:simpleType>
    </xsd:element>
    <xsd:element name="Approval_x0020_Date" ma:index="13" nillable="true" ma:displayName="Approval Date" ma:format="DateOnly" ma:internalName="Approval_x0020_Date" ma:readOnly="false">
      <xsd:simpleType>
        <xsd:restriction base="dms:DateTime"/>
      </xsd:simpleType>
    </xsd:element>
    <xsd:element name="Display_x0020_on_x0020_Internet" ma:index="14" nillable="true" ma:displayName="Display on Internet" ma:default="0" ma:indexed="true" ma:internalName="Display_x0020_on_x0020_Internet" ma:readOnly="false">
      <xsd:simpleType>
        <xsd:restriction base="dms:Boolean"/>
      </xsd:simpleType>
    </xsd:element>
    <xsd:element name="Notes0" ma:index="15" nillable="true" ma:displayName="Notes" ma:internalName="Notes0" ma:readOnly="false">
      <xsd:simpleType>
        <xsd:restriction base="dms:Note">
          <xsd:maxLength value="255"/>
        </xsd:restriction>
      </xsd:simpleType>
    </xsd:element>
    <xsd:element name="Progress" ma:index="16" nillable="true" ma:displayName="Progress" ma:internalName="Progress" ma:readOnly="false">
      <xsd:simpleType>
        <xsd:restriction base="dms:Note"/>
      </xsd:simpleType>
    </xsd:element>
    <xsd:element name="Replaces_x003a_" ma:index="20" nillable="true" ma:displayName="Replaces:" ma:internalName="Replaces_x003a_" ma:readOnly="false">
      <xsd:simpleType>
        <xsd:restriction base="dms:Note"/>
      </xsd:simpleType>
    </xsd:element>
    <xsd:element name="Risk_x0020_Rating" ma:index="21" nillable="true" ma:displayName="Risk Rating" ma:format="Dropdown" ma:internalName="Risk_x0020_Rating" ma:readOnly="false">
      <xsd:simpleType>
        <xsd:restriction base="dms:Choice">
          <xsd:enumeration value="Low"/>
          <xsd:enumeration value="Medium"/>
          <xsd:enumeration value="High"/>
          <xsd:enumeration value="Extreme"/>
          <xsd:enumeration value="Major"/>
          <xsd:enumeration value="Minor"/>
          <xsd:enumeration value="Insignificant"/>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39a80-7f07-4ed7-82c3-24ad7d76ad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3d9c0df-42c0-4395-97bb-7bb7077d361a}" ma:internalName="TaxCatchAll" ma:showField="CatchAllData" ma:web="c0239a80-7f07-4ed7-82c3-24ad7d76ada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ma:index="19"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F58B0-E6BF-4237-9984-6DF2E01C04FA}">
  <ds:schemaRefs>
    <ds:schemaRef ds:uri="http://schemas.openxmlformats.org/package/2006/metadata/core-properties"/>
    <ds:schemaRef ds:uri="9c2f0412-f90c-42c4-93a0-04fcb973abf1"/>
    <ds:schemaRef ds:uri="http://schemas.microsoft.com/office/2006/documentManagement/types"/>
    <ds:schemaRef ds:uri="0c8e588b-9c83-49d3-a6c8-a54de8f95e6a"/>
    <ds:schemaRef ds:uri="http://purl.org/dc/terms/"/>
    <ds:schemaRef ds:uri="http://schemas.microsoft.com/office/infopath/2007/PartnerControls"/>
    <ds:schemaRef ds:uri="http://schemas.microsoft.com/office/2006/metadata/propertie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9B65B1D7-6814-4C80-83A3-1D0E107B7E22}">
  <ds:schemaRefs>
    <ds:schemaRef ds:uri="http://schemas.openxmlformats.org/officeDocument/2006/bibliography"/>
  </ds:schemaRefs>
</ds:datastoreItem>
</file>

<file path=customXml/itemProps3.xml><?xml version="1.0" encoding="utf-8"?>
<ds:datastoreItem xmlns:ds="http://schemas.openxmlformats.org/officeDocument/2006/customXml" ds:itemID="{0DA4D85D-37FD-4A82-B786-2D707BCAEE4F}">
  <ds:schemaRefs>
    <ds:schemaRef ds:uri="http://schemas.microsoft.com/sharepoint/v3/contenttype/forms"/>
  </ds:schemaRefs>
</ds:datastoreItem>
</file>

<file path=customXml/itemProps4.xml><?xml version="1.0" encoding="utf-8"?>
<ds:datastoreItem xmlns:ds="http://schemas.openxmlformats.org/officeDocument/2006/customXml" ds:itemID="{1E4E6552-9E47-4E0E-A86F-1ED744222B9A}"/>
</file>

<file path=docProps/app.xml><?xml version="1.0" encoding="utf-8"?>
<Properties xmlns="http://schemas.openxmlformats.org/officeDocument/2006/extended-properties" xmlns:vt="http://schemas.openxmlformats.org/officeDocument/2006/docPropsVTypes">
  <Template>Normal</Template>
  <TotalTime>14</TotalTime>
  <Pages>9</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Flexible Working Arrangements Relating to Private Practice or Other Commitments – Specialists and Senior Specialists</dc:title>
  <dc:subject>14;#;#12;#;#17;#;#22;#</dc:subject>
  <dc:creator>Kerryn Hunter</dc:creator>
  <cp:lastModifiedBy>Wijekoon, Tharu (Health)</cp:lastModifiedBy>
  <cp:revision>4</cp:revision>
  <cp:lastPrinted>2021-05-10T02:15:00Z</cp:lastPrinted>
  <dcterms:created xsi:type="dcterms:W3CDTF">2021-06-17T23:01:00Z</dcterms:created>
  <dcterms:modified xsi:type="dcterms:W3CDTF">2021-06-18T00:40:00Z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0x0101002046B23B19A8774893278BE755DCE152</vt:lpwstr>
  </property>
  <property fmtid="{D5CDD505-2E9C-101B-9397-08002B2CF9AE}" pid="3" name="TaxKeyword">
    <vt:lpwstr/>
  </property>
  <property fmtid="{D5CDD505-2E9C-101B-9397-08002B2CF9AE}" pid="5" name="_ExtendedDescription">
    <vt:lpwstr/>
  </property>
  <property fmtid="{D5CDD505-2E9C-101B-9397-08002B2CF9AE}" pid="7" name="Rank">
    <vt:lpwstr>AND</vt:lpwstr>
  </property>
  <property fmtid="{D5CDD505-2E9C-101B-9397-08002B2CF9AE}" pid="9" name="Manager Contact">
    <vt:lpwstr/>
  </property>
</Properties>
</file>